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A90383">
        <w:rPr>
          <w:rFonts w:ascii="Times New Roman" w:eastAsia="Times New Roman" w:hAnsi="Times New Roman" w:cs="Times New Roman"/>
          <w:b/>
          <w:sz w:val="28"/>
          <w:szCs w:val="28"/>
        </w:rPr>
        <w:t>ВЫПОЛНЕНИЕ РАБОТ ПО КАПИТАЛЬНОМУ РЕ</w:t>
      </w:r>
      <w:r w:rsidR="00117272">
        <w:rPr>
          <w:rFonts w:ascii="Times New Roman" w:eastAsia="Times New Roman" w:hAnsi="Times New Roman" w:cs="Times New Roman"/>
          <w:b/>
          <w:sz w:val="28"/>
          <w:szCs w:val="28"/>
        </w:rPr>
        <w:t>МОНТУ СТОЛОВОЙ №4 В КОРПУСЕ 6 (5</w:t>
      </w:r>
      <w:r w:rsidR="00A90383">
        <w:rPr>
          <w:rFonts w:ascii="Times New Roman" w:eastAsia="Times New Roman" w:hAnsi="Times New Roman" w:cs="Times New Roman"/>
          <w:b/>
          <w:sz w:val="28"/>
          <w:szCs w:val="28"/>
        </w:rPr>
        <w:t>-Й ЭТАП</w:t>
      </w:r>
      <w:r w:rsidR="0073627E">
        <w:rPr>
          <w:rFonts w:ascii="Times New Roman" w:eastAsia="Times New Roman" w:hAnsi="Times New Roman" w:cs="Times New Roman"/>
          <w:b/>
          <w:sz w:val="28"/>
          <w:szCs w:val="28"/>
        </w:rPr>
        <w:t xml:space="preserve"> </w:t>
      </w:r>
      <w:r w:rsidR="0073627E" w:rsidRPr="0073627E">
        <w:rPr>
          <w:rFonts w:ascii="Times New Roman" w:eastAsia="Times New Roman" w:hAnsi="Times New Roman" w:cs="Times New Roman"/>
          <w:b/>
          <w:sz w:val="28"/>
          <w:szCs w:val="28"/>
        </w:rPr>
        <w:t>- ПОСТАВКА И МОНТАЖ ТЕХНОЛОГИЧЕСКОГО ОБОРУДОВАНИЯ, ИНВЕНТАРЯ</w:t>
      </w:r>
      <w:r w:rsidR="00A90383">
        <w:rPr>
          <w:rFonts w:ascii="Times New Roman" w:eastAsia="Times New Roman" w:hAnsi="Times New Roman" w:cs="Times New Roman"/>
          <w:b/>
          <w:sz w:val="28"/>
          <w:szCs w:val="28"/>
        </w:rPr>
        <w:t>)</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r w:rsidR="00C94C4F" w:rsidRPr="00974D3E">
        <w:rPr>
          <w:rFonts w:ascii="Times New Roman" w:hAnsi="Times New Roman" w:cs="Times New Roman"/>
          <w:sz w:val="24"/>
          <w:szCs w:val="24"/>
          <w:shd w:val="clear" w:color="auto" w:fill="FFFFFF"/>
          <w:lang w:val="en-US"/>
        </w:rPr>
        <w:t>butoma</w:t>
      </w:r>
      <w:r w:rsidR="00C94C4F" w:rsidRPr="00974D3E">
        <w:rPr>
          <w:rFonts w:ascii="Times New Roman" w:hAnsi="Times New Roman" w:cs="Times New Roman"/>
          <w:sz w:val="24"/>
          <w:szCs w:val="24"/>
          <w:shd w:val="clear" w:color="auto" w:fill="FFFFFF"/>
        </w:rPr>
        <w:t>.</w:t>
      </w:r>
      <w:r w:rsidR="00C94C4F" w:rsidRPr="00974D3E">
        <w:rPr>
          <w:rFonts w:ascii="Times New Roman" w:hAnsi="Times New Roman" w:cs="Times New Roman"/>
          <w:sz w:val="24"/>
          <w:szCs w:val="24"/>
          <w:shd w:val="clear" w:color="auto" w:fill="FFFFFF"/>
          <w:lang w:val="en-US"/>
        </w:rPr>
        <w:t>ru</w:t>
      </w:r>
      <w:r w:rsidR="001A2BED" w:rsidRPr="00974D3E">
        <w:rPr>
          <w:rStyle w:val="a3"/>
          <w:rFonts w:ascii="Times New Roman" w:hAnsi="Times New Roman" w:cs="Times New Roman"/>
          <w:sz w:val="24"/>
          <w:szCs w:val="24"/>
          <w:shd w:val="clear" w:color="auto" w:fill="FFFFFF"/>
        </w:rPr>
        <w:t xml:space="preserve">  -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A90383">
        <w:rPr>
          <w:b w:val="0"/>
          <w:bCs/>
          <w:spacing w:val="-2"/>
          <w:sz w:val="24"/>
          <w:szCs w:val="24"/>
        </w:rPr>
        <w:t xml:space="preserve">капитальному ремонту столовой №4 в </w:t>
      </w:r>
      <w:r w:rsidR="00117272">
        <w:rPr>
          <w:b w:val="0"/>
          <w:bCs/>
          <w:spacing w:val="-2"/>
          <w:sz w:val="24"/>
          <w:szCs w:val="24"/>
        </w:rPr>
        <w:t>корпусе 6 (5</w:t>
      </w:r>
      <w:r w:rsidR="00A90383">
        <w:rPr>
          <w:b w:val="0"/>
          <w:bCs/>
          <w:spacing w:val="-2"/>
          <w:sz w:val="24"/>
          <w:szCs w:val="24"/>
        </w:rPr>
        <w:t>-й этап</w:t>
      </w:r>
      <w:r w:rsidR="0073627E">
        <w:rPr>
          <w:b w:val="0"/>
          <w:bCs/>
          <w:spacing w:val="-2"/>
          <w:sz w:val="24"/>
          <w:szCs w:val="24"/>
        </w:rPr>
        <w:t xml:space="preserve"> </w:t>
      </w:r>
      <w:r w:rsidR="0073627E" w:rsidRPr="0073627E">
        <w:rPr>
          <w:b w:val="0"/>
          <w:bCs/>
          <w:spacing w:val="-2"/>
          <w:sz w:val="24"/>
          <w:szCs w:val="24"/>
        </w:rPr>
        <w:t>- поставка и монтаж технологического оборудования, инвентаря</w:t>
      </w:r>
      <w:r w:rsidR="00A90383">
        <w:rPr>
          <w:b w:val="0"/>
          <w:bCs/>
          <w:spacing w:val="-2"/>
          <w:sz w:val="24"/>
          <w:szCs w:val="24"/>
        </w:rPr>
        <w:t>)</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117272">
        <w:rPr>
          <w:sz w:val="24"/>
          <w:szCs w:val="24"/>
          <w:u w:val="single"/>
        </w:rPr>
        <w:t>33 971 313,</w:t>
      </w:r>
      <w:r w:rsidR="00CD5D47">
        <w:rPr>
          <w:sz w:val="24"/>
          <w:szCs w:val="24"/>
          <w:u w:val="single"/>
        </w:rPr>
        <w:t>6</w:t>
      </w:r>
      <w:r w:rsidR="00117272">
        <w:rPr>
          <w:sz w:val="24"/>
          <w:szCs w:val="24"/>
          <w:u w:val="single"/>
        </w:rPr>
        <w:t xml:space="preserve">0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Подрядчик обязуется предоставить в срок не позднее 15 (пятнадцати) дней с даты заключения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с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90383">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239E4">
        <w:rPr>
          <w:rFonts w:ascii="Times New Roman" w:hAnsi="Times New Roman" w:cs="Times New Roman"/>
          <w:sz w:val="24"/>
          <w:szCs w:val="24"/>
        </w:rPr>
        <w:t>1</w:t>
      </w:r>
      <w:r w:rsidR="00117272">
        <w:rPr>
          <w:rFonts w:ascii="Times New Roman" w:hAnsi="Times New Roman" w:cs="Times New Roman"/>
          <w:sz w:val="24"/>
          <w:szCs w:val="24"/>
        </w:rPr>
        <w:t>3:40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w:t>
      </w:r>
      <w:r w:rsidR="00142A12" w:rsidRPr="00560E5E">
        <w:rPr>
          <w:rFonts w:ascii="Times New Roman" w:hAnsi="Times New Roman" w:cs="Times New Roman"/>
          <w:sz w:val="24"/>
          <w:szCs w:val="24"/>
        </w:rPr>
        <w:t>.2022</w:t>
      </w:r>
      <w:r w:rsidR="00EF76DD">
        <w:rPr>
          <w:rFonts w:ascii="Times New Roman" w:hAnsi="Times New Roman" w:cs="Times New Roman"/>
          <w:sz w:val="24"/>
          <w:szCs w:val="24"/>
        </w:rPr>
        <w:t xml:space="preserve"> 09</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(мск)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117272">
              <w:rPr>
                <w:rFonts w:ascii="Times New Roman" w:hAnsi="Times New Roman" w:cs="Times New Roman"/>
                <w:sz w:val="24"/>
                <w:szCs w:val="24"/>
              </w:rPr>
              <w:t>25.08.202213</w:t>
            </w:r>
            <w:r w:rsidR="00AC0074" w:rsidRPr="00974D3E">
              <w:rPr>
                <w:rFonts w:ascii="Times New Roman" w:hAnsi="Times New Roman" w:cs="Times New Roman"/>
                <w:sz w:val="24"/>
                <w:szCs w:val="24"/>
              </w:rPr>
              <w:t>:</w:t>
            </w:r>
            <w:r w:rsidR="00117272">
              <w:rPr>
                <w:rFonts w:ascii="Times New Roman" w:hAnsi="Times New Roman" w:cs="Times New Roman"/>
                <w:sz w:val="24"/>
                <w:szCs w:val="24"/>
              </w:rPr>
              <w:t>4</w:t>
            </w:r>
            <w:r w:rsidR="00EF76DD">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30.08.2022 09</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(мск)</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73627E"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73627E"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76DD">
        <w:rPr>
          <w:rFonts w:ascii="Times New Roman" w:hAnsi="Times New Roman" w:cs="Times New Roman"/>
          <w:sz w:val="24"/>
          <w:szCs w:val="24"/>
        </w:rPr>
        <w:t>27.09.2022 17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 xml:space="preserve">должны быть предоставлены участником закупки через электронную площадку (далее –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w:t>
      </w:r>
      <w:r w:rsidRPr="00974D3E">
        <w:rPr>
          <w:rFonts w:ascii="Times New Roman" w:hAnsi="Times New Roman"/>
          <w:sz w:val="24"/>
          <w:szCs w:val="24"/>
          <w:highlight w:val="yellow"/>
        </w:rPr>
        <w:lastRenderedPageBreak/>
        <w:t>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т.ч. стоимость работ по договору, стоимость материалов, транспортных </w:t>
      </w:r>
      <w:r w:rsidRPr="00974D3E">
        <w:rPr>
          <w:rFonts w:ascii="Times New Roman" w:hAnsi="Times New Roman" w:cs="Times New Roman"/>
          <w:sz w:val="24"/>
          <w:szCs w:val="24"/>
        </w:rPr>
        <w:lastRenderedPageBreak/>
        <w:t>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неприостановление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lastRenderedPageBreak/>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 xml:space="preserve">ие №4 к </w:t>
      </w:r>
      <w:r w:rsidR="004F4C7D">
        <w:rPr>
          <w:sz w:val="24"/>
          <w:szCs w:val="24"/>
        </w:rPr>
        <w:lastRenderedPageBreak/>
        <w:t>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117272">
        <w:rPr>
          <w:rFonts w:ascii="Times New Roman" w:hAnsi="Times New Roman" w:cs="Times New Roman"/>
          <w:sz w:val="24"/>
          <w:szCs w:val="24"/>
        </w:rPr>
        <w:t>25.08.2022 13</w:t>
      </w:r>
      <w:r w:rsidR="00AC0074" w:rsidRPr="00560E5E">
        <w:rPr>
          <w:rFonts w:ascii="Times New Roman" w:hAnsi="Times New Roman" w:cs="Times New Roman"/>
          <w:sz w:val="24"/>
          <w:szCs w:val="24"/>
        </w:rPr>
        <w:t>:</w:t>
      </w:r>
      <w:r w:rsidR="00117272">
        <w:rPr>
          <w:rFonts w:ascii="Times New Roman" w:hAnsi="Times New Roman" w:cs="Times New Roman"/>
          <w:sz w:val="24"/>
          <w:szCs w:val="24"/>
        </w:rPr>
        <w:t>4</w:t>
      </w:r>
      <w:r w:rsidR="006D68A5">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76DD">
        <w:rPr>
          <w:rFonts w:ascii="Times New Roman" w:hAnsi="Times New Roman" w:cs="Times New Roman"/>
          <w:sz w:val="24"/>
          <w:szCs w:val="24"/>
        </w:rPr>
        <w:t>29.08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EF76DD">
        <w:rPr>
          <w:rFonts w:ascii="Times New Roman" w:hAnsi="Times New Roman" w:cs="Times New Roman"/>
          <w:sz w:val="24"/>
          <w:szCs w:val="24"/>
        </w:rPr>
        <w:t>09</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3"/>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В рамках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В случае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3"/>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3"/>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3"/>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3"/>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дложений признается несостоявшим</w:t>
      </w:r>
      <w:r w:rsidR="00C97C10" w:rsidRPr="00974D3E">
        <w:rPr>
          <w:rFonts w:ascii="Times New Roman" w:hAnsi="Times New Roman" w:cs="Times New Roman"/>
          <w:sz w:val="24"/>
          <w:szCs w:val="24"/>
        </w:rPr>
        <w:t>ся, Заказчик вправе:</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73627E">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8"/>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73627E" w:rsidRPr="00E757D8" w:rsidRDefault="0073627E" w:rsidP="0073627E">
      <w:pPr>
        <w:pStyle w:val="af8"/>
        <w:jc w:val="center"/>
        <w:rPr>
          <w:rFonts w:ascii="Times New Roman" w:hAnsi="Times New Roman" w:cs="Times New Roman"/>
          <w:b/>
        </w:rPr>
      </w:pPr>
      <w:r w:rsidRPr="00E757D8">
        <w:rPr>
          <w:rFonts w:ascii="Times New Roman" w:hAnsi="Times New Roman" w:cs="Times New Roman"/>
          <w:b/>
        </w:rPr>
        <w:t>на капитальный ремонт столовой №4 в корпусе 6 (5 этап- поставка и монтаж технологического оборудования, инвентаря).</w:t>
      </w:r>
    </w:p>
    <w:p w:rsidR="0073627E" w:rsidRPr="00E757D8" w:rsidRDefault="0073627E" w:rsidP="0073627E">
      <w:pPr>
        <w:pStyle w:val="af8"/>
        <w:jc w:val="both"/>
        <w:rPr>
          <w:rFonts w:ascii="Times New Roman" w:hAnsi="Times New Roman" w:cs="Times New Roman"/>
        </w:rPr>
      </w:pPr>
    </w:p>
    <w:p w:rsidR="0073627E" w:rsidRPr="00E757D8" w:rsidRDefault="0073627E" w:rsidP="0073627E">
      <w:pPr>
        <w:pStyle w:val="af8"/>
        <w:jc w:val="both"/>
        <w:rPr>
          <w:rFonts w:ascii="Times New Roman" w:hAnsi="Times New Roman" w:cs="Times New Roman"/>
          <w:b/>
        </w:rPr>
      </w:pPr>
      <w:r w:rsidRPr="00E757D8">
        <w:rPr>
          <w:rFonts w:ascii="Times New Roman" w:hAnsi="Times New Roman" w:cs="Times New Roman"/>
        </w:rPr>
        <w:t>1.</w:t>
      </w:r>
      <w:r w:rsidRPr="00E757D8">
        <w:rPr>
          <w:rFonts w:ascii="Times New Roman" w:hAnsi="Times New Roman" w:cs="Times New Roman"/>
          <w:b/>
        </w:rPr>
        <w:t>Требования к количественным характеристикам (объему) работ.</w:t>
      </w:r>
    </w:p>
    <w:p w:rsidR="0073627E" w:rsidRPr="00E757D8" w:rsidRDefault="0073627E" w:rsidP="0073627E">
      <w:pPr>
        <w:pStyle w:val="af8"/>
        <w:jc w:val="both"/>
        <w:rPr>
          <w:rFonts w:ascii="Times New Roman" w:eastAsia="Times New Roman" w:hAnsi="Times New Roman" w:cs="Times New Roman"/>
        </w:rPr>
      </w:pPr>
      <w:r w:rsidRPr="00E757D8">
        <w:rPr>
          <w:rFonts w:ascii="Times New Roman" w:eastAsia="Times New Roman" w:hAnsi="Times New Roman" w:cs="Times New Roman"/>
        </w:rPr>
        <w:t>1.1. Предметом настоящего технического задания является капитальный ремонт столовой №4 в корпусе 6 (5 этап- поставка и монтаж технологического оборудования, инвентаря).</w:t>
      </w:r>
    </w:p>
    <w:p w:rsidR="0073627E" w:rsidRPr="00E757D8" w:rsidRDefault="0073627E" w:rsidP="0073627E">
      <w:pPr>
        <w:pStyle w:val="af8"/>
        <w:jc w:val="both"/>
        <w:rPr>
          <w:rFonts w:ascii="Times New Roman" w:eastAsia="Times New Roman" w:hAnsi="Times New Roman" w:cs="Times New Roman"/>
        </w:rPr>
      </w:pPr>
      <w:r w:rsidRPr="00E757D8">
        <w:rPr>
          <w:rFonts w:ascii="Times New Roman" w:eastAsia="Times New Roman" w:hAnsi="Times New Roman" w:cs="Times New Roman"/>
        </w:rPr>
        <w:t xml:space="preserve">1.2. Адрес выполнения работ: </w:t>
      </w:r>
      <w:r w:rsidRPr="00E757D8">
        <w:rPr>
          <w:rFonts w:ascii="Times New Roman" w:eastAsia="Times New Roman" w:hAnsi="Times New Roman" w:cs="Times New Roman"/>
          <w:lang w:eastAsia="ru-RU"/>
        </w:rPr>
        <w:t>г. Керчь, ул. Танкистов, 4.</w:t>
      </w:r>
    </w:p>
    <w:p w:rsidR="0073627E" w:rsidRPr="00E757D8" w:rsidRDefault="0073627E" w:rsidP="0073627E">
      <w:pPr>
        <w:widowControl w:val="0"/>
        <w:spacing w:after="0" w:line="240" w:lineRule="auto"/>
        <w:jc w:val="both"/>
        <w:rPr>
          <w:rFonts w:ascii="Times New Roman" w:eastAsia="Times New Roman" w:hAnsi="Times New Roman" w:cs="Times New Roman"/>
          <w:lang w:eastAsia="ru-RU"/>
        </w:rPr>
      </w:pPr>
      <w:r w:rsidRPr="00E757D8">
        <w:rPr>
          <w:rFonts w:ascii="Times New Roman" w:eastAsia="Times New Roman" w:hAnsi="Times New Roman" w:cs="Times New Roman"/>
          <w:lang w:eastAsia="ru-RU"/>
        </w:rPr>
        <w:t xml:space="preserve">1.3. Срок выполнения работ: не более </w:t>
      </w:r>
      <w:r>
        <w:rPr>
          <w:rFonts w:ascii="Times New Roman" w:eastAsia="Times New Roman" w:hAnsi="Times New Roman" w:cs="Times New Roman"/>
          <w:lang w:eastAsia="ru-RU"/>
        </w:rPr>
        <w:t xml:space="preserve"> 45</w:t>
      </w:r>
      <w:r w:rsidRPr="00E757D8">
        <w:rPr>
          <w:rFonts w:ascii="Times New Roman" w:eastAsia="Times New Roman" w:hAnsi="Times New Roman" w:cs="Times New Roman"/>
          <w:lang w:eastAsia="ru-RU"/>
        </w:rPr>
        <w:t xml:space="preserve">  рабочих дней.</w:t>
      </w:r>
    </w:p>
    <w:p w:rsidR="0073627E" w:rsidRPr="00E757D8" w:rsidRDefault="0073627E" w:rsidP="0073627E">
      <w:pPr>
        <w:widowControl w:val="0"/>
        <w:spacing w:after="0" w:line="240" w:lineRule="auto"/>
        <w:jc w:val="both"/>
        <w:rPr>
          <w:rFonts w:ascii="Times New Roman" w:eastAsia="Times New Roman" w:hAnsi="Times New Roman" w:cs="Times New Roman"/>
          <w:lang w:eastAsia="ru-RU"/>
        </w:rPr>
      </w:pPr>
      <w:r w:rsidRPr="00E757D8">
        <w:rPr>
          <w:rFonts w:ascii="Times New Roman" w:eastAsia="Times New Roman" w:hAnsi="Times New Roman" w:cs="Times New Roman"/>
          <w:lang w:eastAsia="ru-RU"/>
        </w:rPr>
        <w:t>1.4. Начало выполнения работ: не позднее 5 дней с даты  оплаты аванса.</w:t>
      </w:r>
    </w:p>
    <w:p w:rsidR="0073627E" w:rsidRPr="00E757D8" w:rsidRDefault="0073627E" w:rsidP="0073627E">
      <w:pPr>
        <w:autoSpaceDE w:val="0"/>
        <w:spacing w:after="0" w:line="240" w:lineRule="auto"/>
        <w:jc w:val="both"/>
        <w:rPr>
          <w:rFonts w:ascii="Times New Roman" w:eastAsia="Arial" w:hAnsi="Times New Roman" w:cs="Times New Roman"/>
          <w:bCs/>
          <w:lang w:eastAsia="ar-SA"/>
        </w:rPr>
      </w:pPr>
      <w:r w:rsidRPr="00E757D8">
        <w:rPr>
          <w:rFonts w:ascii="Times New Roman" w:eastAsia="Arial" w:hAnsi="Times New Roman" w:cs="Times New Roman"/>
          <w:bCs/>
          <w:lang w:eastAsia="ar-SA"/>
        </w:rPr>
        <w:t>1.5. Перечень необходимых работ:</w:t>
      </w:r>
    </w:p>
    <w:tbl>
      <w:tblPr>
        <w:tblStyle w:val="aff7"/>
        <w:tblW w:w="0" w:type="auto"/>
        <w:tblLook w:val="04A0" w:firstRow="1" w:lastRow="0" w:firstColumn="1" w:lastColumn="0" w:noHBand="0" w:noVBand="1"/>
      </w:tblPr>
      <w:tblGrid>
        <w:gridCol w:w="666"/>
        <w:gridCol w:w="4826"/>
        <w:gridCol w:w="740"/>
        <w:gridCol w:w="709"/>
        <w:gridCol w:w="2403"/>
      </w:tblGrid>
      <w:tr w:rsidR="0073627E" w:rsidRPr="005C00B7" w:rsidTr="000A2177">
        <w:trPr>
          <w:trHeight w:val="255"/>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пп</w:t>
            </w:r>
          </w:p>
        </w:tc>
        <w:tc>
          <w:tcPr>
            <w:tcW w:w="4826"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Наименование</w:t>
            </w:r>
          </w:p>
        </w:tc>
        <w:tc>
          <w:tcPr>
            <w:tcW w:w="740"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Ед. изм.</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Кол.</w:t>
            </w:r>
          </w:p>
        </w:tc>
        <w:tc>
          <w:tcPr>
            <w:tcW w:w="2403"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Примечание</w:t>
            </w:r>
          </w:p>
        </w:tc>
      </w:tr>
      <w:tr w:rsidR="0073627E" w:rsidRPr="005C00B7" w:rsidTr="000A2177">
        <w:trPr>
          <w:trHeight w:val="255"/>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4826"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740"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r>
      <w:tr w:rsidR="0073627E" w:rsidRPr="005C00B7" w:rsidTr="000A2177">
        <w:trPr>
          <w:trHeight w:val="300"/>
        </w:trPr>
        <w:tc>
          <w:tcPr>
            <w:tcW w:w="9344" w:type="dxa"/>
            <w:gridSpan w:val="5"/>
            <w:hideMark/>
          </w:tcPr>
          <w:p w:rsidR="0073627E" w:rsidRPr="005C00B7" w:rsidRDefault="0073627E" w:rsidP="000A2177">
            <w:pPr>
              <w:autoSpaceDE w:val="0"/>
              <w:jc w:val="both"/>
              <w:rPr>
                <w:rFonts w:ascii="Times New Roman" w:eastAsia="Arial" w:hAnsi="Times New Roman" w:cs="Times New Roman"/>
                <w:b/>
                <w:bCs/>
                <w:lang w:eastAsia="ar-SA"/>
              </w:rPr>
            </w:pPr>
            <w:r w:rsidRPr="005C00B7">
              <w:rPr>
                <w:rFonts w:ascii="Times New Roman" w:eastAsia="Arial" w:hAnsi="Times New Roman" w:cs="Times New Roman"/>
                <w:b/>
                <w:bCs/>
                <w:lang w:eastAsia="ar-SA"/>
              </w:rPr>
              <w:t xml:space="preserve"> 1 этаж</w:t>
            </w:r>
          </w:p>
        </w:tc>
      </w:tr>
      <w:tr w:rsidR="0073627E" w:rsidRPr="005C00B7" w:rsidTr="000A2177">
        <w:trPr>
          <w:trHeight w:val="300"/>
        </w:trPr>
        <w:tc>
          <w:tcPr>
            <w:tcW w:w="9344" w:type="dxa"/>
            <w:gridSpan w:val="5"/>
            <w:hideMark/>
          </w:tcPr>
          <w:p w:rsidR="0073627E" w:rsidRPr="005C00B7" w:rsidRDefault="0073627E" w:rsidP="000A2177">
            <w:pPr>
              <w:autoSpaceDE w:val="0"/>
              <w:jc w:val="both"/>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пом.02. Загрузочная (Т+5гр.С)</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Весы платформенные СмартВес ВП 1000 (500 кг)</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 (1200х600х300)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Весы крановые  КВ-500-А(В)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Тележка грузовая ТГ-120/70 (до  300кг, платформа 1200х700, габариты 1375х700х900)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Стол-тумба двери купе СТКО 12*6 (нерж) (1200х600х870) без борта.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Тележка гидравлическая (ROCLA, рохля, рокла) 2 500 кг, L-1150 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Шторы силиконовые, комплект для стандартной двери камеры</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20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Сплит-система холодильная(-5...+5) МСМ-451 FT. 380 В, 2 400 Вт.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Вешало для мяса передвижное ТВ-1000х1000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пом.03. Холодильная камера №1 (овощи, +5...+10 гр.С)</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С-1,6*15*6/4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С-1,6*8*6/4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Ларь для овощей ЛО-100/60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ПКИ-1,0/0,6/0,3 (1000х600х300)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Камера холодильная КХН- 21,85 (2300х5300х2240)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ДВЕРЬ КОНТЕЙНЕРНАЯ (без панелей, с комплектацией)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Сплит-система холодильная (-25…-18) LCM-324 380 FT. 380 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Шторы силиконовые, комплект для стандартной двери камеры</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ПКИ-0,85/0,6/0,3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пом.04. Холодильная камера №2 (гастрономия, 0...+5 гр.С)</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металлический со сплошными полками из нерж. стали С-1,6*12*6/4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С-1,6*10*6/4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ПКИ-1,0/0,6/0,3 (1000х600х300)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Камера холодильная КХН-17,63 (2600х3800х2240)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ДВЕРЬ КОНТЕЙНЕРНАЯ (без панелей, с комплектацией)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Шторы силиконовые, комплект для стандартной двери камеры</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49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Сплит-система холодильная (-5...+5) MCM-231 380 FT. 380 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пом.05. Холодильная камера №3 (молочно-жировая, 0...+5 гр.С)</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С-1,6*15*6/4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С-1,6*8*6/4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Камера холодильная КХН-17,63 (2600х3800х2240)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ДВЕРЬ КОНТЕЙНЕРНАЯ (без панелей, с комплектацией)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Сплит-система холодильная (-5...+5) MCM-231 380 FT. 380 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Шторы силиконовые, комплект для стандартной двери камеры</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пом.12, пом.24, пом.32. Комната уборочного инвентаря</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металлический со сплошными полками из нерж. стали С-1,6*9*6/4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ШРМ-22 У</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Контейнер пластиковый Rox Box 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пом.13. Моечная цехового инвентаря</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78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79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сварная  ВМП 2/7 нерж. 1330*800*870 (630*630*400)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металлический со сплошными полками из нерж. стали С-1,6*9*6/4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89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пом.14. Кладовая моющих средств</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ПКИ-1,0/0,6/0,3 (1000х600х300)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ШРМ-22 У</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металлический со сплошными полками из нерж. стали С-1,6*12*6/4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пом.20. Овощной цех</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99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106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 (1200х600х300)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С-1,6*10*6/4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109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Машина протирочно-резательная МПР-350М-02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Набор ножей для овощерезки  МПР-350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Машина картофелеочистительная МКК-300-01, Cubitron-3M</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сварная  ВМП 2/7 нерж. 1330*800*870 (630*630*400)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ХОЛОД.С ГЛУХ.ДВЕРЬЮ POLAIR CM107-S (697х854х2028 мм; 0,35 кВт;  220 В; 0/+6,окр.до+40С; 700л; 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118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пом.21. Производственный цех №2 (мясо, рыба, птица для столовой)</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Морозильный шкаф  CB107-S (ШН-0,7)</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129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Коврик ячеистый  «RR» 80х120 с усиленными бортами</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односекционная ВМП 1/7 нерж.(700*800*870 (630*630*400))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136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ПКИ-1,5/0,6/0,3 (1500х600х300)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139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пристенный с бортом СП  9*6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Стерилизатор для ножей СТН-18, на 18 ножей, таймер 10-60 мин.</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Мясорубка МИМ-600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-колода ITERMA 430 для рубки мяса СП 240-500/500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Рыбочистка РЧ-30М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пом.23. Кладовая сухих и сыпучих продуктов</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среднегрузовой SGR 1583-2,0(1500х800х2000)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среднегрузовой SGR 1283-2,0(1200х800х2000)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 (1200х600х300)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149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ПКИ-1,0/0,6/0,3 (1000х600х300)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пом.26. Кладовая яиц (грязная)</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Камера холодильная КХН 14,14 (2300х3500х2240)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ДВЕРЬ КОНТЕЙНЕРНАЯ (без панелей, с комплектацией)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Сплит-система холодильная (-5...+5) MCM-218  FT. 220 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ПКИ-1,0/0,6/0,3 (1000х600х300)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С-1,6*10*6/4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пом.27.  Моечная яиц</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159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трехсекционная ВМП 3/6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161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163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166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168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Коврик ячеистый  «RR» 80х120 с усиленными бортами</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Овоскоп ОН-10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177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Холодильный шкаф  DM105-S (ШХ-05 ДС)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пом.31. Комната приема пищи</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Кухонный гарнитур 1500х600, согласно Эскиза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Холодильник бытовой  POZIS RK-103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Микроволновая печь GASTRORAG WD700N20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Чайник электрический GEMLUX GL-EK-9217WF</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ПЛИТА ИНДУКЦИОННАЯ HURAKAN HKN-ICF70D</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обеденный, ЛДСП, металл цвет "Дуб",  1010х700х730мм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189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Стул «Венус» с мягким сиденьем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Полка настенная полузакрытая ПНО-10*4(1000*400*700)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xml:space="preserve">Диспенсер для бумажных полотенец BIONIK </w:t>
            </w:r>
            <w:r w:rsidRPr="005C00B7">
              <w:rPr>
                <w:rFonts w:ascii="Times New Roman" w:eastAsia="Arial" w:hAnsi="Times New Roman" w:cs="Times New Roman"/>
                <w:bCs/>
                <w:lang w:eastAsia="ar-SA"/>
              </w:rPr>
              <w:lastRenderedPageBreak/>
              <w:t>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195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пом.33. Кладовая грязной одежды, постирочная</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Ларь</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ПРОФЕССИОНАЛЬНЫЙ СТИРАЛЬНО-СУШИЛЬНЫЙ КОМПЛЕКТ ВССК-10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199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ШРМ-22-М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Тележка для белья ТБ-85/55 (850х550х930)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пом.35, пом.39. Раздевальная спец.одежды, пом.33.1 Кладовая чистой одежды</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209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ШРМ-22-М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пом.38, пом.42. Раздевальная домашней и верхней одежды</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ШРМ-С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Скамья для раздевалок W-1000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Фен GEMLUX GL-HDW1200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HURAKAN HKN-AHD2000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219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
                <w:bCs/>
                <w:lang w:eastAsia="ar-SA"/>
              </w:rPr>
            </w:pPr>
            <w:r w:rsidRPr="005C00B7">
              <w:rPr>
                <w:rFonts w:ascii="Times New Roman" w:eastAsia="Arial" w:hAnsi="Times New Roman" w:cs="Times New Roman"/>
                <w:b/>
                <w:bCs/>
                <w:lang w:eastAsia="ar-SA"/>
              </w:rPr>
              <w:lastRenderedPageBreak/>
              <w:t>2 этаж</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 Тамбур при санузле</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пом.5. Гардеробная верхней одежды</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Вешалка гардеробная КР-12Л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пом.6. Обеденный зал №1</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229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Стул Венеция эконом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288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Камелия прямоугольный разборный 900*600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72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 6.1 Зона раздаточной</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Холодильный шкаф  DM105-S (ШХ-05 ДС)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238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холодильный POLAIR TM3GN-G 1628х705х850/910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торговый СТ-1000/500/1800 полки в комплекте</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249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252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Кассовая кабина КК-70КМ универсальная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Прилавок-витрина холодильный ПВВ(Н)-70КМ-С-03-НШ</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Мармит 1-х блюд ПМЭС-70КМ-01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Мармит 2х блюд ЭМК-70КМ-01 паровой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МАРМИТ- ГОРШОЧЕК HURAKAN HKN-FWP</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259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горячих напитков ПГН-70КМ-01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столовых приборов и подносов ПСП-70КМ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горячих напитков ПГН-70КМ-02 (без полок)</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Микроволновая печь GASTRORAG WD700N20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тепловой с бортом HT6-15B, двери-купе,1500х600х870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тепловой Kocateq DH1121WIN</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ЭЛЕКТРОКИПЯТИЛЬНИК HURAKAN HKN-HVZ80MDHC</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267</w:t>
            </w:r>
          </w:p>
        </w:tc>
        <w:tc>
          <w:tcPr>
            <w:tcW w:w="4826" w:type="dxa"/>
            <w:hideMark/>
          </w:tcPr>
          <w:p w:rsidR="0073627E" w:rsidRPr="005C00B7" w:rsidRDefault="0073627E" w:rsidP="000A2177">
            <w:pPr>
              <w:autoSpaceDE w:val="0"/>
              <w:jc w:val="both"/>
              <w:rPr>
                <w:rFonts w:ascii="Times New Roman" w:eastAsia="Arial" w:hAnsi="Times New Roman" w:cs="Times New Roman"/>
                <w:bCs/>
                <w:lang w:val="en-US" w:eastAsia="ar-SA"/>
              </w:rPr>
            </w:pPr>
            <w:r w:rsidRPr="005C00B7">
              <w:rPr>
                <w:rFonts w:ascii="Times New Roman" w:eastAsia="Arial" w:hAnsi="Times New Roman" w:cs="Times New Roman"/>
                <w:bCs/>
                <w:lang w:eastAsia="ar-SA"/>
              </w:rPr>
              <w:t>Кофемашина</w:t>
            </w:r>
            <w:r w:rsidRPr="005C00B7">
              <w:rPr>
                <w:rFonts w:ascii="Times New Roman" w:eastAsia="Arial" w:hAnsi="Times New Roman" w:cs="Times New Roman"/>
                <w:bCs/>
                <w:lang w:val="en-US" w:eastAsia="ar-SA"/>
              </w:rPr>
              <w:t xml:space="preserve"> Saeco Aulika Evo Office</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пом.07 Помещение резки и хранения хлеба</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269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кухонны ШКХ-150/50(перф., двери-купе) 1500х500х1700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Хлеборезка Янычар АХМ-300А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ИЗМЕЛЬЧИТЕЛЬ СУХАРЕЙ APACH BAKERY LINE МАС100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15*6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пом.08 Кладовая гарманже</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С-1,6*15*6/4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277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для кухонного инвентаря ПКИ-1,2/0,6/0,3 (1200х600х300)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278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Овоскоп ОН-10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Гигрометр психрометрический ВИТ-1 (0…+25)°С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пом.09 Моечная кухонной посуды</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288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для сбора отходов  СПСО-1-0,7-1,5(1500х700х870)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для сушки тарелок СТ-1,6*16/5 (5 полок 1580*310*1600)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трехсекционная ВМП 3/6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пом.10 Моечная столовой посуды</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298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307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15*6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котломоечная ВК 2/8 (1650*850*870 (780*780*450))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309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сварная односекц. ВМП 1/6 Оц.600*700*870 (530*530*350)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для сушки тарелок СТ-1,6*16/5 (5 полок 1580*310*1600)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для сбора отходов  СПСО-1-0,7-1,5(1500х700х870)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Посудомоечная машина ММУ-2000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кухонный ШК-150/60(1500х600х1700)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Полка-шкаф настенная сплошная закрытая, дверцы-купе ПНЗ-10*4(1000*400*700)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Тележка для сбора посуды ТО-2 8/5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пом.12 Производственный цех с участками приготовления холодных, горячих блюд и участком выпечки</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319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15*6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ХОЛОД.С ГЛУХ.ДВЕРЬЮ POLAIR CM107-S (697х854х2028 мм; 0,35 кВт;  220 В; 0/+6,окр.до+40С; 700л; 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Полка настенная сплошная ПН 10*3 (1000х300)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329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СОКОВЫЖИМАЛКА ROBOT COUPE J80 ULTRA</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334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Соковыжималка для цитрусовых GASTRORAG SJ-CJ6</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Слайсер ЛР-300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339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ОВОЩЕРЕЗКА ROBOT COUPE CL50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НАБОР ДИСКОВ ROBOT COUPE 1961 CL50/52/55/60/R502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Стерилизатор для ножей СТН-18, на 18 ножей, таймер 10-60 мин.</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9</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ВЕСЫ ЭЛ.ПОРЦИОННЫЕ CAS SW-10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Слайсер ЛР-300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ОВОЩЕРЕЗКА ROBOT COUPE CL60 РЫЧАГ</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НАБОР ДИСКОВ ROBOT COUPE 1961 CL50/52/55/60/R502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348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МОРОЗ.С ГЛУХ.ДВЕРЬЮ POLAIR CB107-S (735х884х2064 мм; 0,7 кВт;  220 В; -15/-20,окр.до+40С, 700л;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Полка настенная сплошная ПН 10*3 (1000х300)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совмещенная с раб.поверхностью  ВСЛ 12/6/5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Кипятильник электрический КНЭ-150-01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Плита индукционная 6-ти конфорочная КИП-69П-3,5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Стерилизатор для ножей СТН-18, на 18 ножей, таймер 10-60 мин.</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Пароконвектомат ПКА 10-1/1ПП2 бойлерный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Пароконвектомат ПКА 20-1/1ПП2 бойлерный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358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под пароконвектомат ПК-10М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360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Водоумягчитель VIRTUS AD12MA8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Фритюрница электрическая ЭФК-90/2П</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Котел пищеварочный опрокидывающийся КПЭМ-250 ОМП</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Котел пищеварочный КПЭМ-250/9 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Плита эл. 6-ти конфор. с духовкой  ЭП- 6ЖШ</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Аппарат контактной обработки АКО-80/2Н-Ч-00, чугунная поверхность 2x395x650 мм, 1 гладкая - 1 рифлен</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369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Модуль нижний МН-03 сдвоенный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УКМ-П Универсальная кухонная машина УКМ полный комплект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Сковорода электрическая ЭСК-90-0,47-70-Ч, чугунная чаша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расстоечный Hurakan HKN-XLT196M</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расстоечный ШРТ-12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379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кондитерский СКПТ 12*8 12*8 (1200х800х870)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Машина тестораскаточная ТРМ-320, толщина раскатки 0,1-10 мм, d скалок 60 мм, длина скалок 320 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Водоумягчитель VIRTUS AD12MA8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пекарский подовый ЭШП-3-01КП электрический, 3 нерж. камеры 1035x800x263(233) 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Тестомес спиральный ТМС-60НН-2П,</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пристенный с бортом СП  9*6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389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Стеллаж кухонный С-1,6*15*6/4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без борта СО 9*6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 13. Доготовочная</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391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15*6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МОРОЗ.С ГЛУХ.ДВЕРЬЮ POLAIR CB107-S (735х884х2064 мм; 0,7 кВт;  220 В; -15/-20,окр.до+40С, 700л;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ХОЛОД.С ГЛУХ.ДВЕРЬЮ POLAIR CM107-S (697х854х2028 мм; 0,35 кВт;  220 В; 0/+6,окр.до+40С; 700л; 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Полка кухонная ПН 15*3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моечная ВМП 2/7 э (1330*800*870 (630*630*400))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399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УСТРОЙСТВО ДУШИРУЮЩЕЕ FRIULI 00981125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Ванна совмещенная с раб.поверхностью  ВСЛ 12/6/5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408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Плита индукционная 6-ти конфорочная КИП-69П-3,5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Стерилизатор для ножей СТН-18, на 18 ножей, таймер 10-60 мин.</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Фритюрница электрическая ЭФК-90/2П</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под пароконвектомат ПК-10М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пристенный с бортом СП  9*6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418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пом.14 Обеденный зал</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420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Холодильный шкаф  DM105-S (ШХ-05 ДС)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Стул Камелия прямоугольный разборный 900*600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47</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Стул Венеция эконом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188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429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 14.1. Зона раздаточной</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Холодильный шкаф  DM105-S (ШХ-05 ДС)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холодильный POLAIR TM3GN-G 1628х705х850/910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Рукомойник РНБ 4*3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локтевой настенный "Bio эконом" синий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Диспенсер для бумажных полотенец BIONIK модель BK2020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439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Рукосушитель HKN-AHD1200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Лампа инсектицидная Hurakan HKN-MID180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Бактерицидный облучатель-рециркулятор Дезар-801.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Кассовая кабина КК-70КМ универсальная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Прилавок-витрина холодильный ПВВ(Н)-70КМ-С-03-НШ</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448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столовых приборов и подносов ПСП-70КМ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Мармит 1-х блюд ПМЭС-70КМ-01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Мармит 2х блюд ЭМК-70КМ-01 паровой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горячих напитков ПГН-70КМ-01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454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Прилавок для горячих напитков ПГН-70КМ-03 (без полок)</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тепловой с бортом HT6-15B, двери-купе,1500х600х870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Микроволновая печь GASTRORAG WD700N20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12*6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459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Шкаф тепловой Kocateq DH1121WIN</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ЭЛЕКТРОКИПЯТИЛЬНИК HURAKAN HKN-HVZ80MDHC</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Сокоохладитель UGOLINI ARCTIC COMPACT 8/2 серый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9344" w:type="dxa"/>
            <w:gridSpan w:val="5"/>
            <w:hideMark/>
          </w:tcPr>
          <w:p w:rsidR="0073627E" w:rsidRPr="005C00B7" w:rsidRDefault="0073627E" w:rsidP="000A2177">
            <w:pPr>
              <w:autoSpaceDE w:val="0"/>
              <w:jc w:val="center"/>
              <w:rPr>
                <w:rFonts w:ascii="Times New Roman" w:eastAsia="Arial" w:hAnsi="Times New Roman" w:cs="Times New Roman"/>
                <w:bCs/>
                <w:i/>
                <w:iCs/>
                <w:lang w:eastAsia="ar-SA"/>
              </w:rPr>
            </w:pPr>
            <w:r w:rsidRPr="005C00B7">
              <w:rPr>
                <w:rFonts w:ascii="Times New Roman" w:eastAsia="Arial" w:hAnsi="Times New Roman" w:cs="Times New Roman"/>
                <w:bCs/>
                <w:i/>
                <w:iCs/>
                <w:lang w:eastAsia="ar-SA"/>
              </w:rPr>
              <w:t>Пом.22 Помещение для ленточной машины</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Комплект транспортерной ленты Каюр-М , 20 метров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Комплект транспортерной ленты Каюр-М , 15метров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Стол производственный с полкой сплошной СП  15*6 (оц)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c>
          <w:tcPr>
            <w:tcW w:w="4826" w:type="dxa"/>
            <w:hideMark/>
          </w:tcPr>
          <w:p w:rsidR="0073627E" w:rsidRPr="005C00B7" w:rsidRDefault="0073627E" w:rsidP="000A2177">
            <w:pPr>
              <w:autoSpaceDE w:val="0"/>
              <w:jc w:val="both"/>
              <w:rPr>
                <w:rFonts w:ascii="Times New Roman" w:eastAsia="Arial" w:hAnsi="Times New Roman" w:cs="Times New Roman"/>
                <w:b/>
                <w:bCs/>
                <w:lang w:eastAsia="ar-SA"/>
              </w:rPr>
            </w:pPr>
            <w:r w:rsidRPr="005C00B7">
              <w:rPr>
                <w:rFonts w:ascii="Times New Roman" w:eastAsia="Arial" w:hAnsi="Times New Roman" w:cs="Times New Roman"/>
                <w:b/>
                <w:bCs/>
                <w:lang w:eastAsia="ar-SA"/>
              </w:rPr>
              <w:t>Инвентарь</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Банка 1,0л ВИНТАЖ с резинкой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Бутыль для соуса 480 мл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Венчик 40см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469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Венчик ПРЕМЬЕРА+++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Вилка транжир.малая (L ручки 325мм)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1/1 530*325*100 (811-4)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1/1 530*325*20 (811-20)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1/1 530*325*40 (811-40)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1/1 530*325*65 (811-2)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1/1 530*327*150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1/2 327*265*150 [812-6]</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1/2 327*265*40 [812-40]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478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1/2 327*265*65 (812-2)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479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1/2*8" 327*265*100[812-4]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1/3 327*176*100 (813-4)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1/3, 0,8мм 327х176х150[813-6]</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1/6 176*164*100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1/6 176*164*150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1/9 176*109*100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Держатель д/ножей магнитный 50x5см, ADH-50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Доска разд. 600*400*18 бел. полипроп.     (1)     кт307</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Дуршлаг с ручками d=30см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Емкость (диспенсер) для соусов, 240 мл, красн/бел/жел пластик</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489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Емкость д/специй 6 лотков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Камень точильный "Лодочка" 2х стор., 22,5x3,5x1,5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Кастрюля  5,0л ТРС индукция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Кастрюля 11л ОБЩЕПИТ d-26 ТРС</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Контейнер 1,0л д/ продуктов "Modena" прямоуг</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Корзина 137*105*97мм ГОЛУБОЙ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Котел 20л нерж.тройное дно d=300 h=300, индукция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Котел 30л 3-е дно 35х32см профес. индукц [1013532]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Котел 50л нерж.тройное дно d=400 h=400, индукция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для GH 1/1[811-L]</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499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для GH 1/2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для GH 1/3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для GH 1/6</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для GH 1/9</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503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Кувшин мерный "Айсберг" 1л.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150мл разливательная большая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50мл д/компота УРАЛОЧКА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гарнирная ЦМР</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для соуса 50 мл "Поварская"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для соуса 100мл "Поварская"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509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Лопатка кондитер изогн8'' 200мм Luxstahl HP-POM629</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Лопатка поварская 195х100мм Luxstahl HP-POM635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Мешок кондитерский полиуретан l=50см [FLEX 050 ULT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60см, нерж.[RGS-2073]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глуб. d-16см 750мл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глуб. d-18см 950мл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глуб. d-20см 1450мл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глуб. d-22см 1850мл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Миска глуб. d-24см 2150мл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Молоток кухонный 23см, металл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519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Мусат 10" пласт. ручка [10''814]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Мусат с алмазным песком 8" 200мм Profi[A8]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8см Plenus овощной серый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20см PLENUS для хлеба серый     (20)     23422/068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поварской 200мм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поварской CLASSIC 20см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филейный CLASSIC 20см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ШЕФ-повара 9'' 230мм Master Luxstahl -</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Нож-рубак 164мм с пласт ручкой Luxstahl</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528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Ножницы поварские Master Luxstahl[9140]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529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Овощечистка пластик металл 13,5х5,5см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Поддон перфориров. 1/2, поликарбонат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Поддон перфорированный 1/1, поликарбонат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Поднос 365*255мм прямоугл.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Поднос 48*36см пищ.</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Половник 1,0л, нерж.[SL]</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Половник 250мл цельнотянутый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Половник 500мл цельнотянутый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Пробка для ванной с цепочкой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19</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d-12см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539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d-14см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d-20см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d-22см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d-25см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Скалка 50см прямая береза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Сковорода d300/50 нерж антиприг, тройн.дно, индукц</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Сковорода Luxstahl 320/50 нерж, антиприг покр</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СКРЕБОК кондитерский 180х100мм нерж. (7108)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Совок для сыпучих продуктов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Сотейник 5,1л со шкалой дв/дно, нерж.d220 h135</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549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Таз 12л 44см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Таз 8л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Терка для сыра VEGA</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Терка четырехгранная мет/руч.Н-200 v96*119</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Чайник 2л 1800Вт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Швабра HITT ПАУЛА телск/руч 130см, микр/полиамид</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555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Шумовка АФИНА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Щетка для мытья посуды КОЛИБРИ большая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Щипцы для удаления костей нерж. 25см (пинцет)</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Щипцы универсальные</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559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Ящик 330*190*120 КРИСТАЛЛ 5,0л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Ящик 400*335*170 КРИСТАЛЛ 18,0л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Контейнер д/пищевых продуктов 19,0л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Подставка д/досок из нерж.стали [201 STEEL STAND]</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Лопатка кулинарная цельнотянутая ручка 32см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Ящик с крышкой "профи комфорт" 36л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Доска разд. 500*350*18 бел. полипроп.     (1)     кт301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ГАСТРОЕМКОСТЬ полипропилен 1/1х4'' (100мм) 530х325 [422100101]  арт 520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КРЫШКА полипропилен 1/1 [42210040195]  арт551</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для муки металл d 270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569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Хлебница "ПЫШКА" больш.</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Кувшин мерный 2,0л нерж.MGSteel</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d-10см с пласт. 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Сито d-350(мелкая сетка) нерж с дер.ручкой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4</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Пиццерезка "Премьера" (нерж)</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3</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гарнирная "Поварская"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25</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Корзинка 250х150х72</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Контейнер для мусора 120 л.</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Коврик диэлектрический 750х750</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Топор для разруба туш мясной</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579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Дезковрик ХАССП Плюс+ 50х65х3</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9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lastRenderedPageBreak/>
              <w:t>580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Дезинфектор для рук бесконтактный настольный/настенный объемом 1,6 л Kocateq HS BIOPROTECT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Мандолина(овощерезка)+7 насадок</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Силиконовая форма для выпечки(в ассортименте)</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сковорода чугунная 300 мм</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Казан 100 литров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Казан 50 литров</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2</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Сковорода блинная чугунная</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c>
          <w:tcPr>
            <w:tcW w:w="4826" w:type="dxa"/>
            <w:hideMark/>
          </w:tcPr>
          <w:p w:rsidR="0073627E" w:rsidRPr="005C00B7" w:rsidRDefault="0073627E" w:rsidP="000A2177">
            <w:pPr>
              <w:autoSpaceDE w:val="0"/>
              <w:jc w:val="both"/>
              <w:rPr>
                <w:rFonts w:ascii="Times New Roman" w:eastAsia="Arial" w:hAnsi="Times New Roman" w:cs="Times New Roman"/>
                <w:b/>
                <w:bCs/>
                <w:lang w:eastAsia="ar-SA"/>
              </w:rPr>
            </w:pPr>
            <w:r w:rsidRPr="005C00B7">
              <w:rPr>
                <w:rFonts w:ascii="Times New Roman" w:eastAsia="Arial" w:hAnsi="Times New Roman" w:cs="Times New Roman"/>
                <w:b/>
                <w:bCs/>
                <w:lang w:eastAsia="ar-SA"/>
              </w:rPr>
              <w:t>Посуда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Тарелка мелкая 11" 285мм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Салатник  6,5" 160мм 325мл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589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Тарелка мелкая 8" 213мм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Тарелка мелкая 12" 315мм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Тарелка мелкая 9,5" 245мм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Стакан 360 мл "LINEA" Дымка</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593</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Салатник 4,5" 115мм 420мл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800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594</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Набор для специй "Соль+Перец" 2,7" 68мм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595</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Салфетница "Verona"     (18)</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596</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Вилка столовая "Bazis"</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597</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столовая "Bazis"</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598</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Ложка чайная "Bazis"</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599</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Нож столовый "Bazis"</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600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600</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Чайная пара 225мл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1000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6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601</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ПОДНОС СТОЛОВЫЙ 530х330 темно-коричневый [КН-4759, 04004]</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r w:rsidR="0073627E" w:rsidRPr="005C00B7" w:rsidTr="000A2177">
        <w:trPr>
          <w:trHeight w:val="300"/>
        </w:trPr>
        <w:tc>
          <w:tcPr>
            <w:tcW w:w="66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602</w:t>
            </w:r>
          </w:p>
        </w:tc>
        <w:tc>
          <w:tcPr>
            <w:tcW w:w="4826"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Тарелка мелкая 6,7" 170мм "Lambert"</w:t>
            </w:r>
          </w:p>
        </w:tc>
        <w:tc>
          <w:tcPr>
            <w:tcW w:w="740"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шт.</w:t>
            </w:r>
          </w:p>
        </w:tc>
        <w:tc>
          <w:tcPr>
            <w:tcW w:w="709" w:type="dxa"/>
            <w:hideMark/>
          </w:tcPr>
          <w:p w:rsidR="0073627E" w:rsidRPr="005C00B7" w:rsidRDefault="0073627E" w:rsidP="000A2177">
            <w:pPr>
              <w:autoSpaceDE w:val="0"/>
              <w:jc w:val="center"/>
              <w:rPr>
                <w:rFonts w:ascii="Times New Roman" w:eastAsia="Arial" w:hAnsi="Times New Roman" w:cs="Times New Roman"/>
                <w:bCs/>
                <w:lang w:eastAsia="ar-SA"/>
              </w:rPr>
            </w:pPr>
            <w:r w:rsidRPr="005C00B7">
              <w:rPr>
                <w:rFonts w:ascii="Times New Roman" w:eastAsia="Arial" w:hAnsi="Times New Roman" w:cs="Times New Roman"/>
                <w:bCs/>
                <w:lang w:eastAsia="ar-SA"/>
              </w:rPr>
              <w:t>500</w:t>
            </w:r>
          </w:p>
        </w:tc>
        <w:tc>
          <w:tcPr>
            <w:tcW w:w="2403" w:type="dxa"/>
            <w:hideMark/>
          </w:tcPr>
          <w:p w:rsidR="0073627E" w:rsidRPr="005C00B7" w:rsidRDefault="0073627E" w:rsidP="000A2177">
            <w:pPr>
              <w:autoSpaceDE w:val="0"/>
              <w:jc w:val="both"/>
              <w:rPr>
                <w:rFonts w:ascii="Times New Roman" w:eastAsia="Arial" w:hAnsi="Times New Roman" w:cs="Times New Roman"/>
                <w:bCs/>
                <w:lang w:eastAsia="ar-SA"/>
              </w:rPr>
            </w:pPr>
            <w:r w:rsidRPr="005C00B7">
              <w:rPr>
                <w:rFonts w:ascii="Times New Roman" w:eastAsia="Arial" w:hAnsi="Times New Roman" w:cs="Times New Roman"/>
                <w:bCs/>
                <w:lang w:eastAsia="ar-SA"/>
              </w:rPr>
              <w:t> </w:t>
            </w:r>
          </w:p>
        </w:tc>
      </w:tr>
    </w:tbl>
    <w:p w:rsidR="0073627E" w:rsidRPr="00F709FE" w:rsidRDefault="0073627E" w:rsidP="0073627E">
      <w:pPr>
        <w:autoSpaceDE w:val="0"/>
        <w:spacing w:after="0" w:line="240" w:lineRule="auto"/>
        <w:jc w:val="both"/>
        <w:rPr>
          <w:rFonts w:ascii="Times New Roman" w:eastAsia="Arial" w:hAnsi="Times New Roman" w:cs="Times New Roman"/>
          <w:bCs/>
          <w:lang w:eastAsia="ar-SA"/>
        </w:rPr>
      </w:pPr>
    </w:p>
    <w:p w:rsidR="0073627E" w:rsidRDefault="0073627E" w:rsidP="0073627E">
      <w:pPr>
        <w:spacing w:after="0" w:line="240" w:lineRule="auto"/>
        <w:rPr>
          <w:rFonts w:ascii="Times New Roman" w:eastAsia="Times New Roman" w:hAnsi="Times New Roman" w:cs="Times New Roman"/>
          <w:lang w:eastAsia="ru-RU"/>
        </w:rPr>
      </w:pP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w:t>
      </w:r>
      <w:r w:rsidRPr="00BB785D">
        <w:rPr>
          <w:rFonts w:ascii="Times New Roman" w:eastAsia="Times New Roman" w:hAnsi="Times New Roman" w:cs="Times New Roman"/>
          <w:lang w:eastAsia="ru-RU"/>
        </w:rPr>
        <w:lastRenderedPageBreak/>
        <w:t>заключенного во исполнение  Государственного контракта №2028187301931452209002843 от 25.05.2020 г. (присвоен ИГК 2028187301931452209002843). 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 Договора о банковском сопровождении.</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На момент заключения настоящего Договора уполномоченным банком Заказчика является ПАО «ПРОМСВЯЗЬБАНК».</w:t>
      </w:r>
    </w:p>
    <w:p w:rsidR="0073627E" w:rsidRPr="00BB785D" w:rsidRDefault="0073627E" w:rsidP="0073627E">
      <w:pPr>
        <w:spacing w:after="0" w:line="240" w:lineRule="auto"/>
        <w:jc w:val="both"/>
        <w:rPr>
          <w:rFonts w:ascii="Times New Roman" w:eastAsia="Times New Roman" w:hAnsi="Times New Roman" w:cs="Times New Roman"/>
          <w:lang w:eastAsia="ru-RU"/>
        </w:rPr>
      </w:pPr>
    </w:p>
    <w:p w:rsidR="0073627E" w:rsidRPr="00BB785D" w:rsidRDefault="0073627E" w:rsidP="0073627E">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2.</w:t>
      </w:r>
      <w:r w:rsidRPr="00BB785D">
        <w:rPr>
          <w:rFonts w:ascii="Times New Roman" w:eastAsia="Times New Roman" w:hAnsi="Times New Roman" w:cs="Times New Roman"/>
          <w:lang w:eastAsia="ru-RU"/>
        </w:rPr>
        <w:tab/>
      </w:r>
      <w:r w:rsidRPr="00BB785D">
        <w:rPr>
          <w:rFonts w:ascii="Times New Roman" w:eastAsia="Times New Roman" w:hAnsi="Times New Roman" w:cs="Times New Roman"/>
          <w:b/>
          <w:lang w:eastAsia="ru-RU"/>
        </w:rPr>
        <w:t>Требования к качеству и безопасности работ.</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73627E" w:rsidRPr="00BB785D" w:rsidRDefault="0073627E" w:rsidP="0073627E">
      <w:pPr>
        <w:spacing w:after="0" w:line="240" w:lineRule="auto"/>
        <w:jc w:val="both"/>
        <w:rPr>
          <w:rFonts w:ascii="Times New Roman" w:eastAsia="Times New Roman" w:hAnsi="Times New Roman" w:cs="Times New Roman"/>
          <w:lang w:eastAsia="ru-RU"/>
        </w:rPr>
      </w:pPr>
    </w:p>
    <w:p w:rsidR="0073627E" w:rsidRPr="00BB785D" w:rsidRDefault="0073627E" w:rsidP="0073627E">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3.Требования к техническим характеристикам работ.</w:t>
      </w:r>
    </w:p>
    <w:p w:rsidR="0073627E" w:rsidRPr="00BB785D" w:rsidRDefault="0073627E" w:rsidP="0073627E">
      <w:pPr>
        <w:spacing w:after="0" w:line="240" w:lineRule="auto"/>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3.1 Требование к выполнению работ.</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73627E" w:rsidRPr="00BB785D" w:rsidRDefault="0073627E" w:rsidP="0073627E">
      <w:pPr>
        <w:spacing w:after="0" w:line="240" w:lineRule="auto"/>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73627E" w:rsidRPr="00BB785D" w:rsidRDefault="0073627E" w:rsidP="0073627E">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3.2.1. Приемка завершенных работ производится по акту приема-передачи выполненных работ.</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b/>
          <w:lang w:eastAsia="ar-SA"/>
        </w:rPr>
        <w:t>3.3. Гарантийные обязательства</w:t>
      </w:r>
      <w:r w:rsidRPr="00BB785D">
        <w:rPr>
          <w:rFonts w:ascii="Times New Roman" w:hAnsi="Times New Roman" w:cs="Times New Roman"/>
          <w:lang w:eastAsia="ar-SA"/>
        </w:rPr>
        <w:t>.</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3.3.1. Исполнитель несет ответственность за ненадлежащее выполнение обязательств по настоящему Договору.</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3.3.2. Гарантийный срок </w:t>
      </w:r>
      <w:r>
        <w:rPr>
          <w:rFonts w:ascii="Times New Roman" w:hAnsi="Times New Roman" w:cs="Times New Roman"/>
          <w:lang w:eastAsia="ar-SA"/>
        </w:rPr>
        <w:t>оборудования, инвентаря определяется заводом-изготовителем</w:t>
      </w:r>
      <w:r w:rsidRPr="00BB785D">
        <w:rPr>
          <w:rFonts w:ascii="Times New Roman" w:hAnsi="Times New Roman" w:cs="Times New Roman"/>
          <w:lang w:eastAsia="ar-SA"/>
        </w:rPr>
        <w:t>.</w:t>
      </w:r>
    </w:p>
    <w:p w:rsidR="0073627E" w:rsidRPr="00BB785D" w:rsidRDefault="0073627E" w:rsidP="0073627E">
      <w:pPr>
        <w:spacing w:after="0" w:line="240" w:lineRule="auto"/>
        <w:jc w:val="both"/>
        <w:rPr>
          <w:rFonts w:ascii="Times New Roman" w:hAnsi="Times New Roman" w:cs="Times New Roman"/>
          <w:lang w:eastAsia="ar-SA"/>
        </w:rPr>
      </w:pPr>
    </w:p>
    <w:p w:rsidR="0073627E" w:rsidRPr="00BB785D" w:rsidRDefault="0073627E" w:rsidP="0073627E">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4. Требования к Подрядчику.</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3</w:t>
      </w:r>
      <w:r w:rsidRPr="00BB785D">
        <w:rPr>
          <w:rFonts w:ascii="Times New Roman" w:hAnsi="Times New Roman" w:cs="Times New Roman"/>
          <w:lang w:eastAsia="ar-SA"/>
        </w:rPr>
        <w:t>.  Обладать необходимыми профессиональными знаниями, опытом и  репутацией.</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4</w:t>
      </w:r>
      <w:r w:rsidRPr="00BB785D">
        <w:rPr>
          <w:rFonts w:ascii="Times New Roman" w:hAnsi="Times New Roman" w:cs="Times New Roman"/>
          <w:lang w:eastAsia="ar-SA"/>
        </w:rPr>
        <w:t>. Иметь ресурсные возможности (финансовые, материально – технические, производственные, трудовые).</w:t>
      </w:r>
    </w:p>
    <w:p w:rsidR="0073627E"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5</w:t>
      </w:r>
      <w:r w:rsidRPr="00BB785D">
        <w:rPr>
          <w:rFonts w:ascii="Times New Roman" w:hAnsi="Times New Roman" w:cs="Times New Roman"/>
          <w:lang w:eastAsia="ar-SA"/>
        </w:rPr>
        <w:t xml:space="preserve">. Обеспечить способность проведения необходимого комплекса работ в требуемые сроки и с должным качеством. </w:t>
      </w:r>
    </w:p>
    <w:p w:rsidR="0073627E" w:rsidRPr="00BB785D" w:rsidRDefault="0073627E" w:rsidP="0073627E">
      <w:pPr>
        <w:spacing w:after="0" w:line="240" w:lineRule="auto"/>
        <w:jc w:val="both"/>
        <w:rPr>
          <w:rFonts w:ascii="Times New Roman" w:hAnsi="Times New Roman" w:cs="Times New Roman"/>
          <w:lang w:eastAsia="ar-SA"/>
        </w:rPr>
      </w:pPr>
      <w:r>
        <w:rPr>
          <w:rFonts w:ascii="Times New Roman" w:hAnsi="Times New Roman" w:cs="Times New Roman"/>
          <w:lang w:eastAsia="ar-SA"/>
        </w:rPr>
        <w:t>4.6. До монтажа оборудования, инвентаря предоставить технические паспорта на них, сертификаты качества, безопасности поставляемого оборудования, а также другую техническую документацию, предусмотренную действующим на территории Российской Федерации законодательством.</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4.7. Предоставить смету</w:t>
      </w:r>
      <w:r>
        <w:rPr>
          <w:rFonts w:ascii="Times New Roman" w:hAnsi="Times New Roman" w:cs="Times New Roman"/>
          <w:lang w:eastAsia="ar-SA"/>
        </w:rPr>
        <w:t>, коммерческие предложения на оборудование, инвентарь.</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4.8. </w:t>
      </w:r>
      <w:r w:rsidRPr="00BB785D">
        <w:rPr>
          <w:rFonts w:ascii="Times New Roman" w:hAnsi="Times New Roman" w:cs="Times New Roman"/>
          <w:b/>
          <w:lang w:eastAsia="ar-SA"/>
        </w:rPr>
        <w:t>Условия о должной осмотрительности</w:t>
      </w:r>
      <w:r w:rsidRPr="00BB785D">
        <w:rPr>
          <w:rFonts w:ascii="Times New Roman" w:hAnsi="Times New Roman" w:cs="Times New Roman"/>
          <w:lang w:eastAsia="ar-SA"/>
        </w:rPr>
        <w:t>.</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4.8.2. Подрядчик обязан предоставлять вместе с заявкой следующие документы:</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lastRenderedPageBreak/>
        <w:t xml:space="preserve">1) Выписка из ЕГРЮЛ или ЕГРИП с печатью ИФНС, либо заверенные исполнительным органом контрагента их копии;  </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3) Заверенные подрядчиком копии свидетельства о постановке на учет в налоговом органе по месту регистрации (ИНН);</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 Устав организации;</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7) Заверенная подрядчиком копия доверенности лица, подписывающего договор (в случае, если договор подписывает не руководитель);</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8) Форма 6-НДФЛ за последний отчетный период;</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9) Реестр 2-НДФЛ за последний отчетный период;</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10) РСВ за последний отчетный период без 3-го раздела;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13) Бухгалтерская отчетность за отчетный год;</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14) Данные о наличии складов и офисов;</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73627E" w:rsidRPr="00BB785D" w:rsidRDefault="0073627E" w:rsidP="0073627E">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5. Ответственность.</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5.1 При нарушении Подрядчиком срока выполнения работ по Договору Подрядчик уплачивает Заказчику неустойку в размере 1,0% от стоимости Договора за каждый день просрочки, а за просрочку более 15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5.4  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 Ответственность за охрану труда и пожарную безопасность:</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5.7.2 Заказчик имеет право осуществлять контроль за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73627E" w:rsidRPr="00BB785D" w:rsidRDefault="0073627E" w:rsidP="0073627E">
      <w:pPr>
        <w:spacing w:after="0" w:line="240" w:lineRule="auto"/>
        <w:jc w:val="both"/>
        <w:rPr>
          <w:rFonts w:ascii="Times New Roman" w:hAnsi="Times New Roman" w:cs="Times New Roman"/>
          <w:lang w:eastAsia="ar-SA"/>
        </w:rPr>
      </w:pPr>
    </w:p>
    <w:p w:rsidR="0073627E" w:rsidRPr="00BB785D" w:rsidRDefault="0073627E" w:rsidP="0073627E">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lastRenderedPageBreak/>
        <w:t>6.Порядок платежей.</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73627E" w:rsidRPr="00BB785D" w:rsidRDefault="0073627E" w:rsidP="0073627E">
      <w:pPr>
        <w:spacing w:after="0" w:line="360" w:lineRule="auto"/>
        <w:jc w:val="both"/>
        <w:rPr>
          <w:rFonts w:ascii="Times New Roman" w:hAnsi="Times New Roman" w:cs="Times New Roman"/>
          <w:b/>
          <w:lang w:eastAsia="ar-SA"/>
        </w:rPr>
      </w:pPr>
      <w:r w:rsidRPr="00BB785D">
        <w:rPr>
          <w:rFonts w:ascii="Times New Roman" w:hAnsi="Times New Roman" w:cs="Times New Roman"/>
          <w:lang w:eastAsia="ar-SA"/>
        </w:rPr>
        <w:t>6.3 Началь</w:t>
      </w:r>
      <w:r>
        <w:rPr>
          <w:rFonts w:ascii="Times New Roman" w:hAnsi="Times New Roman" w:cs="Times New Roman"/>
          <w:lang w:eastAsia="ar-SA"/>
        </w:rPr>
        <w:t xml:space="preserve">ная (максимальная) стоимость:  </w:t>
      </w:r>
      <w:r w:rsidRPr="00EB3224">
        <w:rPr>
          <w:rFonts w:ascii="Times New Roman" w:hAnsi="Times New Roman" w:cs="Times New Roman"/>
          <w:b/>
          <w:lang w:eastAsia="ar-SA"/>
        </w:rPr>
        <w:t>33</w:t>
      </w:r>
      <w:r>
        <w:rPr>
          <w:rFonts w:ascii="Times New Roman" w:hAnsi="Times New Roman" w:cs="Times New Roman"/>
          <w:b/>
          <w:lang w:eastAsia="ar-SA"/>
        </w:rPr>
        <w:t> </w:t>
      </w:r>
      <w:r w:rsidRPr="00EB3224">
        <w:rPr>
          <w:rFonts w:ascii="Times New Roman" w:hAnsi="Times New Roman" w:cs="Times New Roman"/>
          <w:b/>
          <w:lang w:eastAsia="ar-SA"/>
        </w:rPr>
        <w:t>971</w:t>
      </w:r>
      <w:r>
        <w:rPr>
          <w:rFonts w:ascii="Times New Roman" w:hAnsi="Times New Roman" w:cs="Times New Roman"/>
          <w:b/>
          <w:lang w:eastAsia="ar-SA"/>
        </w:rPr>
        <w:t xml:space="preserve"> </w:t>
      </w:r>
      <w:r w:rsidRPr="00EB3224">
        <w:rPr>
          <w:rFonts w:ascii="Times New Roman" w:hAnsi="Times New Roman" w:cs="Times New Roman"/>
          <w:b/>
          <w:lang w:eastAsia="ar-SA"/>
        </w:rPr>
        <w:t>313,60</w:t>
      </w:r>
      <w:r>
        <w:rPr>
          <w:rFonts w:ascii="Times New Roman" w:hAnsi="Times New Roman" w:cs="Times New Roman"/>
          <w:b/>
          <w:lang w:eastAsia="ar-SA"/>
        </w:rPr>
        <w:t xml:space="preserve"> </w:t>
      </w:r>
      <w:r w:rsidRPr="00D23382">
        <w:rPr>
          <w:rFonts w:ascii="Times New Roman" w:hAnsi="Times New Roman" w:cs="Times New Roman"/>
          <w:b/>
          <w:lang w:eastAsia="ar-SA"/>
        </w:rPr>
        <w:t>руб</w:t>
      </w:r>
      <w:r>
        <w:rPr>
          <w:rFonts w:ascii="Times New Roman" w:hAnsi="Times New Roman" w:cs="Times New Roman"/>
          <w:b/>
          <w:lang w:eastAsia="ar-SA"/>
        </w:rPr>
        <w:t xml:space="preserve">. </w:t>
      </w:r>
      <w:r w:rsidRPr="00BB785D">
        <w:rPr>
          <w:rFonts w:ascii="Times New Roman" w:hAnsi="Times New Roman" w:cs="Times New Roman"/>
          <w:b/>
          <w:lang w:eastAsia="ar-SA"/>
        </w:rPr>
        <w:t>с НДС.</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В стоимость работ включены НДС, расходы по уплате налогов и сборов, а так же другие обязательные платежи.</w:t>
      </w:r>
    </w:p>
    <w:p w:rsidR="0073627E" w:rsidRPr="00BB785D" w:rsidRDefault="0073627E" w:rsidP="0073627E">
      <w:pPr>
        <w:autoSpaceDE w:val="0"/>
        <w:autoSpaceDN w:val="0"/>
        <w:adjustRightInd w:val="0"/>
        <w:spacing w:after="0" w:line="240" w:lineRule="auto"/>
        <w:rPr>
          <w:rFonts w:ascii="Times New Roman" w:hAnsi="Times New Roman" w:cs="Times New Roman"/>
          <w:color w:val="000000"/>
        </w:rPr>
      </w:pPr>
      <w:r w:rsidRPr="00BB785D">
        <w:rPr>
          <w:rFonts w:ascii="Times New Roman" w:hAnsi="Times New Roman" w:cs="Times New Roman"/>
          <w:color w:val="000000"/>
        </w:rPr>
        <w:t xml:space="preserve">6.4 Обеспечение исполнения договора (применяется для обеспечения исполнения обязательств по возврату аванса): </w:t>
      </w:r>
    </w:p>
    <w:p w:rsidR="0073627E" w:rsidRPr="00BB785D" w:rsidRDefault="0073627E" w:rsidP="0073627E">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-подрядчик обязуется предоставить в срок не позднее 15 (пятнадцати) дней с даты заключения Договора обеспечение возврата аванса  по Договору в форме:</w:t>
      </w:r>
    </w:p>
    <w:p w:rsidR="0073627E" w:rsidRPr="00BB785D" w:rsidRDefault="0073627E" w:rsidP="0073627E">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xml:space="preserve">- безотзывной банковской гарантии (далее – банковская гарантия), выданной банком; </w:t>
      </w:r>
    </w:p>
    <w:p w:rsidR="0073627E" w:rsidRPr="00BB785D" w:rsidRDefault="0073627E" w:rsidP="0073627E">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денежных средств путем их перечисления Заказчику (обеспечительный платеж).</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73627E" w:rsidRPr="00BB785D" w:rsidRDefault="0073627E" w:rsidP="0073627E">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Заказчик вправе не устанавливать в договоре требование обеспечения исполнения обязательств, без объяснения причин. </w:t>
      </w: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73627E" w:rsidRDefault="0073627E" w:rsidP="007C40C4">
      <w:pPr>
        <w:tabs>
          <w:tab w:val="left" w:pos="567"/>
          <w:tab w:val="left" w:pos="1276"/>
          <w:tab w:val="left" w:pos="1701"/>
          <w:tab w:val="left" w:pos="1843"/>
          <w:tab w:val="left" w:pos="2127"/>
        </w:tabs>
        <w:spacing w:after="0" w:line="240" w:lineRule="auto"/>
        <w:rPr>
          <w:rFonts w:ascii="Times New Roman" w:hAnsi="Times New Roman" w:cs="Times New Roman"/>
          <w:i/>
        </w:rPr>
      </w:pPr>
      <w:bookmarkStart w:id="0" w:name="_GoBack"/>
      <w:bookmarkEnd w:id="0"/>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117272" w:rsidRDefault="00117272"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опубликованное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8"/>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8"/>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 СОГЛАСНО ТЕХНИЧЕСКОГО ЗАДАНИЯ.</w:t>
      </w:r>
    </w:p>
    <w:p w:rsidR="00650E53" w:rsidRPr="00E34B64" w:rsidRDefault="00650E53" w:rsidP="00BD76D2">
      <w:pPr>
        <w:pStyle w:val="af8"/>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__________________________ включает в себя ………</w:t>
      </w:r>
      <w:r w:rsidRPr="00221168">
        <w:rPr>
          <w:rFonts w:ascii="Times New Roman" w:hAnsi="Times New Roman" w:cs="Times New Roman"/>
          <w:b w:val="0"/>
          <w:i/>
          <w:sz w:val="18"/>
          <w:szCs w:val="18"/>
        </w:rPr>
        <w:t xml:space="preserve">Общая стоимость договора  должна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Мы согласны с тем, что процедура запроса коммерческих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650E53" w:rsidRPr="00E34B64" w:rsidRDefault="00650E53" w:rsidP="00BD76D2">
      <w:pPr>
        <w:pStyle w:val="af8"/>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r>
        <w:rPr>
          <w:rFonts w:ascii="Times New Roman" w:hAnsi="Times New Roman" w:cs="Times New Roman"/>
          <w:b/>
          <w:color w:val="000000"/>
        </w:rPr>
        <w:t>СОГЛАСЕН.</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  закупках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Сделка по данному договору 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r w:rsidRPr="009B2F7B">
        <w:rPr>
          <w:rFonts w:ascii="Times New Roman" w:eastAsia="SimSun" w:hAnsi="Times New Roman" w:cs="Times New Roman"/>
          <w:b/>
          <w:sz w:val="24"/>
          <w:szCs w:val="24"/>
        </w:rPr>
        <w:t>является/не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(фамилия, имя, отчество подписавшего,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web-сайта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внеоборотных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r w:rsidR="00540A4A" w:rsidRPr="00B71DBA">
              <w:rPr>
                <w:rFonts w:ascii="Times New Roman" w:hAnsi="Times New Roman" w:cs="Times New Roman"/>
                <w:sz w:val="24"/>
                <w:szCs w:val="24"/>
                <w:lang w:eastAsia="en-US"/>
              </w:rPr>
              <w:t>дочерних/аффилированных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e-mail</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п/п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r w:rsidR="00DD2122">
        <w:rPr>
          <w:rFonts w:ascii="Times New Roman" w:eastAsia="Times New Roman" w:hAnsi="Times New Roman" w:cs="Times New Roman"/>
          <w:lang w:eastAsia="ru-RU"/>
        </w:rPr>
        <w:t xml:space="preserve">договора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м.п.</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t>п/п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м.п.</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DD" w:rsidRDefault="00EF76DD" w:rsidP="00A85798">
      <w:pPr>
        <w:spacing w:after="0" w:line="240" w:lineRule="auto"/>
      </w:pPr>
      <w:r>
        <w:separator/>
      </w:r>
    </w:p>
  </w:endnote>
  <w:endnote w:type="continuationSeparator" w:id="0">
    <w:p w:rsidR="00EF76DD" w:rsidRDefault="00EF76D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DD" w:rsidRDefault="00EF76DD">
    <w:pPr>
      <w:pStyle w:val="afa"/>
      <w:jc w:val="right"/>
    </w:pPr>
    <w:r>
      <w:fldChar w:fldCharType="begin"/>
    </w:r>
    <w:r>
      <w:instrText xml:space="preserve"> PAGE   \* MERGEFORMAT </w:instrText>
    </w:r>
    <w:r>
      <w:fldChar w:fldCharType="separate"/>
    </w:r>
    <w:r w:rsidR="0073627E">
      <w:rPr>
        <w:noProof/>
      </w:rPr>
      <w:t>3</w:t>
    </w:r>
    <w:r>
      <w:rPr>
        <w:noProof/>
      </w:rPr>
      <w:fldChar w:fldCharType="end"/>
    </w:r>
  </w:p>
  <w:p w:rsidR="00EF76DD" w:rsidRDefault="00EF76D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DD" w:rsidRDefault="00EF76DD" w:rsidP="00A85798">
      <w:pPr>
        <w:spacing w:after="0" w:line="240" w:lineRule="auto"/>
      </w:pPr>
      <w:r>
        <w:separator/>
      </w:r>
    </w:p>
  </w:footnote>
  <w:footnote w:type="continuationSeparator" w:id="0">
    <w:p w:rsidR="00EF76DD" w:rsidRDefault="00EF76DD" w:rsidP="00A85798">
      <w:pPr>
        <w:spacing w:after="0" w:line="240" w:lineRule="auto"/>
      </w:pPr>
      <w:r>
        <w:continuationSeparator/>
      </w:r>
    </w:p>
  </w:footnote>
  <w:footnote w:id="1">
    <w:p w:rsidR="00EF76DD" w:rsidRPr="006A4B85" w:rsidRDefault="00EF76DD" w:rsidP="0044308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804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849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8E5094"/>
    <w:multiLevelType w:val="multilevel"/>
    <w:tmpl w:val="FC24BF42"/>
    <w:lvl w:ilvl="0">
      <w:start w:val="2"/>
      <w:numFmt w:val="decimal"/>
      <w:lvlText w:val="%1."/>
      <w:lvlJc w:val="left"/>
      <w:pPr>
        <w:ind w:left="585" w:hanging="585"/>
      </w:pPr>
      <w:rPr>
        <w:rFonts w:hint="default"/>
        <w:color w:val="000000"/>
      </w:rPr>
    </w:lvl>
    <w:lvl w:ilvl="1">
      <w:start w:val="2"/>
      <w:numFmt w:val="decimal"/>
      <w:lvlText w:val="%1.%2."/>
      <w:lvlJc w:val="left"/>
      <w:pPr>
        <w:ind w:left="730" w:hanging="72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1880" w:hanging="1800"/>
      </w:pPr>
      <w:rPr>
        <w:rFonts w:hint="default"/>
        <w:color w:val="000000"/>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6DB7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393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BA95AC7"/>
    <w:multiLevelType w:val="hybridMultilevel"/>
    <w:tmpl w:val="41F6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F15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50735C6"/>
    <w:multiLevelType w:val="hybridMultilevel"/>
    <w:tmpl w:val="4038F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B95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2BA62C67"/>
    <w:multiLevelType w:val="hybridMultilevel"/>
    <w:tmpl w:val="370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F2723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0130573"/>
    <w:multiLevelType w:val="multilevel"/>
    <w:tmpl w:val="54221D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1">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2">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3">
    <w:nsid w:val="37E933A3"/>
    <w:multiLevelType w:val="hybridMultilevel"/>
    <w:tmpl w:val="CE4C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C81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35712CA"/>
    <w:multiLevelType w:val="hybridMultilevel"/>
    <w:tmpl w:val="AAAA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1623FA"/>
    <w:multiLevelType w:val="hybridMultilevel"/>
    <w:tmpl w:val="CCA2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69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A51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515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5BF4DE7"/>
    <w:multiLevelType w:val="hybridMultilevel"/>
    <w:tmpl w:val="30A81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5">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6">
    <w:nsid w:val="67FF7C7B"/>
    <w:multiLevelType w:val="hybridMultilevel"/>
    <w:tmpl w:val="95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A75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686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3A6B0B"/>
    <w:multiLevelType w:val="multilevel"/>
    <w:tmpl w:val="879E25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761E2137"/>
    <w:multiLevelType w:val="multilevel"/>
    <w:tmpl w:val="C16E2426"/>
    <w:lvl w:ilvl="0">
      <w:start w:val="8"/>
      <w:numFmt w:val="decimal"/>
      <w:lvlText w:val="%1."/>
      <w:lvlJc w:val="left"/>
      <w:pPr>
        <w:ind w:left="360" w:hanging="360"/>
      </w:pPr>
      <w:rPr>
        <w:rFonts w:hint="default"/>
        <w:b w:val="0"/>
      </w:rPr>
    </w:lvl>
    <w:lvl w:ilvl="1">
      <w:start w:val="1"/>
      <w:numFmt w:val="decimal"/>
      <w:lvlText w:val="%1.%2."/>
      <w:lvlJc w:val="left"/>
      <w:pPr>
        <w:ind w:left="-491" w:hanging="360"/>
      </w:pPr>
      <w:rPr>
        <w:rFonts w:ascii="Times New Roman" w:hAnsi="Times New Roman" w:cs="Times New Roman"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6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2">
    <w:nsid w:val="78C45560"/>
    <w:multiLevelType w:val="multilevel"/>
    <w:tmpl w:val="84E6CA2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C175045"/>
    <w:multiLevelType w:val="hybridMultilevel"/>
    <w:tmpl w:val="495E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5F2431"/>
    <w:multiLevelType w:val="hybridMultilevel"/>
    <w:tmpl w:val="87B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D271EE8"/>
    <w:multiLevelType w:val="multilevel"/>
    <w:tmpl w:val="E5023500"/>
    <w:lvl w:ilvl="0">
      <w:start w:val="11"/>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7">
    <w:nsid w:val="7F3156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7"/>
  </w:num>
  <w:num w:numId="5">
    <w:abstractNumId w:val="42"/>
  </w:num>
  <w:num w:numId="6">
    <w:abstractNumId w:val="50"/>
  </w:num>
  <w:num w:numId="7">
    <w:abstractNumId w:val="63"/>
  </w:num>
  <w:num w:numId="8">
    <w:abstractNumId w:val="35"/>
  </w:num>
  <w:num w:numId="9">
    <w:abstractNumId w:val="51"/>
  </w:num>
  <w:num w:numId="10">
    <w:abstractNumId w:val="53"/>
  </w:num>
  <w:num w:numId="11">
    <w:abstractNumId w:val="36"/>
  </w:num>
  <w:num w:numId="12">
    <w:abstractNumId w:val="65"/>
  </w:num>
  <w:num w:numId="13">
    <w:abstractNumId w:val="46"/>
  </w:num>
  <w:num w:numId="14">
    <w:abstractNumId w:val="64"/>
  </w:num>
  <w:num w:numId="15">
    <w:abstractNumId w:val="30"/>
  </w:num>
  <w:num w:numId="16">
    <w:abstractNumId w:val="45"/>
  </w:num>
  <w:num w:numId="17">
    <w:abstractNumId w:val="41"/>
  </w:num>
  <w:num w:numId="18">
    <w:abstractNumId w:val="33"/>
  </w:num>
  <w:num w:numId="19">
    <w:abstractNumId w:val="62"/>
  </w:num>
  <w:num w:numId="20">
    <w:abstractNumId w:val="26"/>
  </w:num>
  <w:num w:numId="21">
    <w:abstractNumId w:val="10"/>
  </w:num>
  <w:num w:numId="22">
    <w:abstractNumId w:val="12"/>
  </w:num>
  <w:num w:numId="23">
    <w:abstractNumId w:val="16"/>
  </w:num>
  <w:num w:numId="24">
    <w:abstractNumId w:val="18"/>
  </w:num>
  <w:num w:numId="25">
    <w:abstractNumId w:val="20"/>
  </w:num>
  <w:num w:numId="26">
    <w:abstractNumId w:val="66"/>
  </w:num>
  <w:num w:numId="27">
    <w:abstractNumId w:val="60"/>
  </w:num>
  <w:num w:numId="28">
    <w:abstractNumId w:val="43"/>
  </w:num>
  <w:num w:numId="29">
    <w:abstractNumId w:val="56"/>
  </w:num>
  <w:num w:numId="30">
    <w:abstractNumId w:val="52"/>
  </w:num>
  <w:num w:numId="31">
    <w:abstractNumId w:val="39"/>
  </w:num>
  <w:num w:numId="32">
    <w:abstractNumId w:val="59"/>
  </w:num>
  <w:num w:numId="33">
    <w:abstractNumId w:val="37"/>
  </w:num>
  <w:num w:numId="34">
    <w:abstractNumId w:val="58"/>
  </w:num>
  <w:num w:numId="35">
    <w:abstractNumId w:val="23"/>
  </w:num>
  <w:num w:numId="36">
    <w:abstractNumId w:val="44"/>
  </w:num>
  <w:num w:numId="37">
    <w:abstractNumId w:val="28"/>
  </w:num>
  <w:num w:numId="38">
    <w:abstractNumId w:val="48"/>
  </w:num>
  <w:num w:numId="39">
    <w:abstractNumId w:val="24"/>
  </w:num>
  <w:num w:numId="40">
    <w:abstractNumId w:val="29"/>
  </w:num>
  <w:num w:numId="41">
    <w:abstractNumId w:val="38"/>
  </w:num>
  <w:num w:numId="42">
    <w:abstractNumId w:val="55"/>
  </w:num>
  <w:num w:numId="43">
    <w:abstractNumId w:val="57"/>
  </w:num>
  <w:num w:numId="44">
    <w:abstractNumId w:val="31"/>
  </w:num>
  <w:num w:numId="45">
    <w:abstractNumId w:val="47"/>
  </w:num>
  <w:num w:numId="46">
    <w:abstractNumId w:val="34"/>
  </w:num>
  <w:num w:numId="47">
    <w:abstractNumId w:val="49"/>
  </w:num>
  <w:num w:numId="48">
    <w:abstractNumId w:val="67"/>
  </w:num>
  <w:num w:numId="4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17272"/>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2787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239E4"/>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8A5"/>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27E"/>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0383"/>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2BD3"/>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5D47"/>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EF76DD"/>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362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3627E"/>
    <w:pPr>
      <w:suppressAutoHyphens w:val="0"/>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5">
    <w:name w:val="xl115"/>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6">
    <w:name w:val="xl116"/>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8">
    <w:name w:val="xl118"/>
    <w:basedOn w:val="a"/>
    <w:rsid w:val="0073627E"/>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0">
    <w:name w:val="xl120"/>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23">
    <w:name w:val="xl123"/>
    <w:basedOn w:val="a"/>
    <w:rsid w:val="0073627E"/>
    <w:pP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
    <w:rsid w:val="0073627E"/>
    <w:pP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rsid w:val="0073627E"/>
    <w:pPr>
      <w:suppressAutoHyphens w:val="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26">
    <w:name w:val="xl126"/>
    <w:basedOn w:val="a"/>
    <w:rsid w:val="0073627E"/>
    <w:pP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7">
    <w:name w:val="xl127"/>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362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3627E"/>
    <w:pPr>
      <w:suppressAutoHyphens w:val="0"/>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5">
    <w:name w:val="xl115"/>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6">
    <w:name w:val="xl116"/>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8">
    <w:name w:val="xl118"/>
    <w:basedOn w:val="a"/>
    <w:rsid w:val="0073627E"/>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0">
    <w:name w:val="xl120"/>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23">
    <w:name w:val="xl123"/>
    <w:basedOn w:val="a"/>
    <w:rsid w:val="0073627E"/>
    <w:pP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
    <w:rsid w:val="0073627E"/>
    <w:pP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rsid w:val="0073627E"/>
    <w:pPr>
      <w:suppressAutoHyphens w:val="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26">
    <w:name w:val="xl126"/>
    <w:basedOn w:val="a"/>
    <w:rsid w:val="0073627E"/>
    <w:pPr>
      <w:suppressAutoHyphens w:val="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7">
    <w:name w:val="xl127"/>
    <w:basedOn w:val="a"/>
    <w:rsid w:val="007362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A4D5-62E4-45E3-A027-198D7A9D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38</Pages>
  <Words>9828</Words>
  <Characters>56025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65722</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2022-08-29T06:52:00Z</dcterms:modified>
</cp:coreProperties>
</file>