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DC3041" w:rsidRPr="00DC3041">
        <w:rPr>
          <w:rFonts w:ascii="Times New Roman" w:eastAsia="Times New Roman" w:hAnsi="Times New Roman" w:cs="Times New Roman"/>
          <w:b/>
          <w:sz w:val="28"/>
          <w:szCs w:val="28"/>
        </w:rPr>
        <w:t>РЕМОНТ</w:t>
      </w:r>
      <w:r w:rsidR="00DC3041">
        <w:rPr>
          <w:rFonts w:ascii="Times New Roman" w:eastAsia="Times New Roman" w:hAnsi="Times New Roman" w:cs="Times New Roman"/>
          <w:b/>
          <w:sz w:val="28"/>
          <w:szCs w:val="28"/>
        </w:rPr>
        <w:t>У</w:t>
      </w:r>
      <w:r w:rsidR="00DC3041" w:rsidRPr="00DC3041">
        <w:rPr>
          <w:rFonts w:ascii="Times New Roman" w:eastAsia="Times New Roman" w:hAnsi="Times New Roman" w:cs="Times New Roman"/>
          <w:b/>
          <w:sz w:val="28"/>
          <w:szCs w:val="28"/>
        </w:rPr>
        <w:t xml:space="preserve"> КРОВЛИ СКЛАДА №35 (ПРИСТРОЙ К  БКЦ</w:t>
      </w:r>
      <w:proofErr w:type="gramStart"/>
      <w:r w:rsidR="00DC3041" w:rsidRPr="00DC3041">
        <w:rPr>
          <w:rFonts w:ascii="Times New Roman" w:eastAsia="Times New Roman" w:hAnsi="Times New Roman" w:cs="Times New Roman"/>
          <w:b/>
          <w:sz w:val="28"/>
          <w:szCs w:val="28"/>
        </w:rPr>
        <w:t>2</w:t>
      </w:r>
      <w:proofErr w:type="gramEnd"/>
      <w:r w:rsidR="00DC3041" w:rsidRPr="00DC3041">
        <w:rPr>
          <w:rFonts w:ascii="Times New Roman" w:eastAsia="Times New Roman" w:hAnsi="Times New Roman" w:cs="Times New Roman"/>
          <w:b/>
          <w:sz w:val="28"/>
          <w:szCs w:val="28"/>
        </w:rPr>
        <w:t>, ЦЕХ №33)</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90F58" w:rsidRPr="00142A12">
        <w:rPr>
          <w:b w:val="0"/>
          <w:bCs/>
          <w:spacing w:val="-2"/>
          <w:sz w:val="24"/>
          <w:szCs w:val="24"/>
        </w:rPr>
        <w:t xml:space="preserve">ремонту </w:t>
      </w:r>
      <w:r w:rsidR="00DC3041" w:rsidRPr="00DC3041">
        <w:rPr>
          <w:b w:val="0"/>
          <w:bCs/>
          <w:spacing w:val="-2"/>
          <w:sz w:val="24"/>
          <w:szCs w:val="24"/>
        </w:rPr>
        <w:t>кровли склада №35 (пристрой к  БКЦ</w:t>
      </w:r>
      <w:proofErr w:type="gramStart"/>
      <w:r w:rsidR="00DC3041" w:rsidRPr="00DC3041">
        <w:rPr>
          <w:b w:val="0"/>
          <w:bCs/>
          <w:spacing w:val="-2"/>
          <w:sz w:val="24"/>
          <w:szCs w:val="24"/>
        </w:rPr>
        <w:t>2</w:t>
      </w:r>
      <w:proofErr w:type="gramEnd"/>
      <w:r w:rsidR="00DC3041" w:rsidRPr="00DC3041">
        <w:rPr>
          <w:b w:val="0"/>
          <w:bCs/>
          <w:spacing w:val="-2"/>
          <w:sz w:val="24"/>
          <w:szCs w:val="24"/>
        </w:rPr>
        <w:t>, цех №33)</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DC3041">
        <w:rPr>
          <w:sz w:val="24"/>
          <w:szCs w:val="24"/>
          <w:u w:val="single"/>
        </w:rPr>
        <w:t>3 980 812,80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DC3041">
        <w:rPr>
          <w:rFonts w:ascii="Times New Roman" w:hAnsi="Times New Roman" w:cs="Times New Roman"/>
          <w:sz w:val="24"/>
          <w:szCs w:val="24"/>
        </w:rPr>
        <w:t>10.08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DC3041">
        <w:rPr>
          <w:rFonts w:ascii="Times New Roman" w:hAnsi="Times New Roman" w:cs="Times New Roman"/>
          <w:sz w:val="24"/>
          <w:szCs w:val="24"/>
        </w:rPr>
        <w:t>14:00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1C536A">
        <w:rPr>
          <w:rFonts w:ascii="Times New Roman" w:hAnsi="Times New Roman" w:cs="Times New Roman"/>
          <w:sz w:val="24"/>
          <w:szCs w:val="24"/>
        </w:rPr>
        <w:t>01.09</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DC3041">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DC3041">
              <w:rPr>
                <w:rFonts w:ascii="Times New Roman" w:hAnsi="Times New Roman" w:cs="Times New Roman"/>
                <w:sz w:val="24"/>
                <w:szCs w:val="24"/>
              </w:rPr>
              <w:t>10.08.2022 14</w:t>
            </w:r>
            <w:r w:rsidR="00AC0074" w:rsidRPr="00974D3E">
              <w:rPr>
                <w:rFonts w:ascii="Times New Roman" w:hAnsi="Times New Roman" w:cs="Times New Roman"/>
                <w:sz w:val="24"/>
                <w:szCs w:val="24"/>
              </w:rPr>
              <w:t>:</w:t>
            </w:r>
            <w:r w:rsidR="00DC3041">
              <w:rPr>
                <w:rFonts w:ascii="Times New Roman" w:hAnsi="Times New Roman" w:cs="Times New Roman"/>
                <w:sz w:val="24"/>
                <w:szCs w:val="24"/>
              </w:rPr>
              <w:t>00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1C536A">
              <w:rPr>
                <w:rFonts w:ascii="Times New Roman" w:hAnsi="Times New Roman" w:cs="Times New Roman"/>
                <w:sz w:val="24"/>
                <w:szCs w:val="24"/>
              </w:rPr>
              <w:t>01.09</w:t>
            </w:r>
            <w:r w:rsidR="00DC3041">
              <w:rPr>
                <w:rFonts w:ascii="Times New Roman" w:hAnsi="Times New Roman" w:cs="Times New Roman"/>
                <w:sz w:val="24"/>
                <w:szCs w:val="24"/>
              </w:rPr>
              <w:t>.2022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C536A"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C536A"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1C536A">
        <w:rPr>
          <w:rFonts w:ascii="Times New Roman" w:hAnsi="Times New Roman" w:cs="Times New Roman"/>
          <w:sz w:val="24"/>
          <w:szCs w:val="24"/>
        </w:rPr>
        <w:t>29</w:t>
      </w:r>
      <w:bookmarkStart w:id="0" w:name="_GoBack"/>
      <w:bookmarkEnd w:id="0"/>
      <w:r w:rsidR="00DC3041">
        <w:rPr>
          <w:rFonts w:ascii="Times New Roman" w:hAnsi="Times New Roman" w:cs="Times New Roman"/>
          <w:sz w:val="24"/>
          <w:szCs w:val="24"/>
        </w:rPr>
        <w:t>.09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DC3041">
        <w:rPr>
          <w:rFonts w:ascii="Times New Roman" w:hAnsi="Times New Roman" w:cs="Times New Roman"/>
          <w:sz w:val="24"/>
          <w:szCs w:val="24"/>
        </w:rPr>
        <w:t>10.08.2022 14</w:t>
      </w:r>
      <w:r w:rsidR="00AC0074" w:rsidRPr="00560E5E">
        <w:rPr>
          <w:rFonts w:ascii="Times New Roman" w:hAnsi="Times New Roman" w:cs="Times New Roman"/>
          <w:sz w:val="24"/>
          <w:szCs w:val="24"/>
        </w:rPr>
        <w:t>:</w:t>
      </w:r>
      <w:r w:rsidR="00DC3041">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BB2ADA">
        <w:rPr>
          <w:rFonts w:ascii="Times New Roman" w:hAnsi="Times New Roman" w:cs="Times New Roman"/>
          <w:sz w:val="24"/>
          <w:szCs w:val="24"/>
        </w:rPr>
        <w:t>24</w:t>
      </w:r>
      <w:r w:rsidR="00DC3041">
        <w:rPr>
          <w:rFonts w:ascii="Times New Roman" w:hAnsi="Times New Roman" w:cs="Times New Roman"/>
          <w:sz w:val="24"/>
          <w:szCs w:val="24"/>
        </w:rPr>
        <w:t>.08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DC3041">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DC3041" w:rsidRPr="00E046C4" w:rsidRDefault="00DC3041" w:rsidP="002C3DBE">
      <w:pPr>
        <w:pStyle w:val="af7"/>
        <w:jc w:val="center"/>
        <w:rPr>
          <w:rFonts w:ascii="Times New Roman" w:hAnsi="Times New Roman" w:cs="Times New Roman"/>
          <w:sz w:val="24"/>
          <w:szCs w:val="24"/>
        </w:rPr>
      </w:pPr>
      <w:r w:rsidRPr="00E046C4">
        <w:rPr>
          <w:rFonts w:ascii="Times New Roman" w:hAnsi="Times New Roman" w:cs="Times New Roman"/>
          <w:sz w:val="24"/>
          <w:szCs w:val="24"/>
        </w:rPr>
        <w:t>на ремонт кровли</w:t>
      </w:r>
      <w:r>
        <w:rPr>
          <w:rFonts w:ascii="Times New Roman" w:hAnsi="Times New Roman" w:cs="Times New Roman"/>
          <w:sz w:val="24"/>
          <w:szCs w:val="24"/>
        </w:rPr>
        <w:t xml:space="preserve"> склада №35 (пристрой к  БКЦ</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цех №33)</w:t>
      </w:r>
    </w:p>
    <w:p w:rsidR="00DC3041" w:rsidRPr="00E046C4" w:rsidRDefault="00DC3041" w:rsidP="002C3DBE">
      <w:pPr>
        <w:pStyle w:val="af7"/>
        <w:rPr>
          <w:rFonts w:ascii="Times New Roman" w:hAnsi="Times New Roman" w:cs="Times New Roman"/>
          <w:sz w:val="24"/>
          <w:szCs w:val="24"/>
        </w:rPr>
      </w:pPr>
    </w:p>
    <w:p w:rsidR="00DC3041" w:rsidRPr="00E046C4" w:rsidRDefault="00DC3041" w:rsidP="002C3DBE">
      <w:pPr>
        <w:pStyle w:val="af7"/>
        <w:rPr>
          <w:rFonts w:ascii="Times New Roman" w:hAnsi="Times New Roman" w:cs="Times New Roman"/>
          <w:sz w:val="24"/>
          <w:szCs w:val="24"/>
        </w:rPr>
      </w:pPr>
      <w:r w:rsidRPr="00E046C4">
        <w:rPr>
          <w:rFonts w:ascii="Times New Roman" w:hAnsi="Times New Roman" w:cs="Times New Roman"/>
          <w:sz w:val="24"/>
          <w:szCs w:val="24"/>
        </w:rPr>
        <w:t>1. Требования к количественным характеристикам (объему) работ.</w:t>
      </w:r>
    </w:p>
    <w:p w:rsidR="00DC3041" w:rsidRPr="00E046C4" w:rsidRDefault="00DC3041" w:rsidP="002C3DBE">
      <w:pPr>
        <w:pStyle w:val="af7"/>
        <w:rPr>
          <w:rFonts w:ascii="Times New Roman" w:hAnsi="Times New Roman" w:cs="Times New Roman"/>
          <w:sz w:val="24"/>
          <w:szCs w:val="24"/>
        </w:rPr>
      </w:pPr>
      <w:r w:rsidRPr="00E046C4">
        <w:rPr>
          <w:rFonts w:ascii="Times New Roman" w:hAnsi="Times New Roman" w:cs="Times New Roman"/>
          <w:sz w:val="24"/>
          <w:szCs w:val="24"/>
        </w:rPr>
        <w:t>1.1.Предметом настоящего технического задания явл</w:t>
      </w:r>
      <w:r>
        <w:rPr>
          <w:rFonts w:ascii="Times New Roman" w:hAnsi="Times New Roman" w:cs="Times New Roman"/>
          <w:sz w:val="24"/>
          <w:szCs w:val="24"/>
        </w:rPr>
        <w:t>яется ремонт кровли склада№35</w:t>
      </w:r>
    </w:p>
    <w:p w:rsidR="00DC3041" w:rsidRPr="00E046C4" w:rsidRDefault="00DC3041" w:rsidP="002C3DBE">
      <w:pPr>
        <w:pStyle w:val="af7"/>
        <w:rPr>
          <w:rFonts w:ascii="Times New Roman" w:hAnsi="Times New Roman" w:cs="Times New Roman"/>
          <w:sz w:val="24"/>
          <w:szCs w:val="24"/>
        </w:rPr>
      </w:pPr>
      <w:r w:rsidRPr="00E046C4">
        <w:rPr>
          <w:rFonts w:ascii="Times New Roman" w:hAnsi="Times New Roman" w:cs="Times New Roman"/>
          <w:sz w:val="24"/>
          <w:szCs w:val="24"/>
        </w:rPr>
        <w:t>1.2. Адрес выполнения работ: г. Керчь, ул. Танкистов, 4.</w:t>
      </w:r>
    </w:p>
    <w:p w:rsidR="00DC3041" w:rsidRPr="00E046C4" w:rsidRDefault="00DC3041" w:rsidP="002C3DBE">
      <w:pPr>
        <w:pStyle w:val="af7"/>
        <w:rPr>
          <w:rFonts w:ascii="Times New Roman" w:hAnsi="Times New Roman" w:cs="Times New Roman"/>
          <w:sz w:val="24"/>
          <w:szCs w:val="24"/>
        </w:rPr>
      </w:pPr>
      <w:r w:rsidRPr="00E046C4">
        <w:rPr>
          <w:rFonts w:ascii="Times New Roman" w:hAnsi="Times New Roman" w:cs="Times New Roman"/>
          <w:sz w:val="24"/>
          <w:szCs w:val="24"/>
        </w:rPr>
        <w:t>1.3. С</w:t>
      </w:r>
      <w:r>
        <w:rPr>
          <w:rFonts w:ascii="Times New Roman" w:hAnsi="Times New Roman" w:cs="Times New Roman"/>
          <w:sz w:val="24"/>
          <w:szCs w:val="24"/>
        </w:rPr>
        <w:t>рок выполнения работ: не более 3</w:t>
      </w:r>
      <w:r w:rsidRPr="00E046C4">
        <w:rPr>
          <w:rFonts w:ascii="Times New Roman" w:hAnsi="Times New Roman" w:cs="Times New Roman"/>
          <w:sz w:val="24"/>
          <w:szCs w:val="24"/>
        </w:rPr>
        <w:t xml:space="preserve">0  календарных дней </w:t>
      </w:r>
    </w:p>
    <w:p w:rsidR="00DC3041" w:rsidRPr="00E046C4" w:rsidRDefault="00DC3041" w:rsidP="002C3DBE">
      <w:pPr>
        <w:pStyle w:val="af7"/>
        <w:rPr>
          <w:rFonts w:ascii="Times New Roman" w:hAnsi="Times New Roman" w:cs="Times New Roman"/>
          <w:sz w:val="24"/>
          <w:szCs w:val="24"/>
        </w:rPr>
      </w:pPr>
      <w:r w:rsidRPr="00E046C4">
        <w:rPr>
          <w:rFonts w:ascii="Times New Roman" w:hAnsi="Times New Roman" w:cs="Times New Roman"/>
          <w:sz w:val="24"/>
          <w:szCs w:val="24"/>
        </w:rPr>
        <w:t xml:space="preserve">1.4.Начало выполнения работ: не позднее 5 дней </w:t>
      </w:r>
      <w:proofErr w:type="gramStart"/>
      <w:r w:rsidRPr="00E046C4">
        <w:rPr>
          <w:rFonts w:ascii="Times New Roman" w:hAnsi="Times New Roman" w:cs="Times New Roman"/>
          <w:sz w:val="24"/>
          <w:szCs w:val="24"/>
        </w:rPr>
        <w:t>с даты оплаты</w:t>
      </w:r>
      <w:proofErr w:type="gramEnd"/>
      <w:r w:rsidRPr="00E046C4">
        <w:rPr>
          <w:rFonts w:ascii="Times New Roman" w:hAnsi="Times New Roman" w:cs="Times New Roman"/>
          <w:sz w:val="24"/>
          <w:szCs w:val="24"/>
        </w:rPr>
        <w:t xml:space="preserve">  аванса</w:t>
      </w:r>
    </w:p>
    <w:p w:rsidR="00DC3041" w:rsidRPr="00E046C4" w:rsidRDefault="00DC3041" w:rsidP="00DC3041">
      <w:pPr>
        <w:pStyle w:val="af7"/>
        <w:rPr>
          <w:rFonts w:ascii="Times New Roman" w:hAnsi="Times New Roman" w:cs="Times New Roman"/>
          <w:sz w:val="24"/>
          <w:szCs w:val="24"/>
        </w:rPr>
      </w:pPr>
      <w:r w:rsidRPr="00E046C4">
        <w:rPr>
          <w:rFonts w:ascii="Times New Roman" w:hAnsi="Times New Roman" w:cs="Times New Roman"/>
          <w:sz w:val="24"/>
          <w:szCs w:val="24"/>
        </w:rPr>
        <w:t>1.5. Перечень необходимых работ:</w:t>
      </w:r>
    </w:p>
    <w:tbl>
      <w:tblPr>
        <w:tblW w:w="9070" w:type="dxa"/>
        <w:tblInd w:w="93" w:type="dxa"/>
        <w:tblLook w:val="04A0" w:firstRow="1" w:lastRow="0" w:firstColumn="1" w:lastColumn="0" w:noHBand="0" w:noVBand="1"/>
      </w:tblPr>
      <w:tblGrid>
        <w:gridCol w:w="661"/>
        <w:gridCol w:w="4170"/>
        <w:gridCol w:w="1573"/>
        <w:gridCol w:w="1066"/>
        <w:gridCol w:w="1600"/>
      </w:tblGrid>
      <w:tr w:rsidR="00DC3041" w:rsidRPr="00E8736F" w:rsidTr="002C3DBE">
        <w:trPr>
          <w:trHeight w:val="49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041" w:rsidRPr="00E8736F" w:rsidRDefault="00DC3041" w:rsidP="002C3DBE">
            <w:pPr>
              <w:spacing w:after="0" w:line="240" w:lineRule="auto"/>
              <w:jc w:val="center"/>
              <w:rPr>
                <w:rFonts w:ascii="Times New Roman" w:eastAsia="Times New Roman" w:hAnsi="Times New Roman" w:cs="Times New Roman"/>
                <w:sz w:val="24"/>
                <w:szCs w:val="24"/>
                <w:lang w:eastAsia="ru-RU"/>
              </w:rPr>
            </w:pPr>
            <w:r w:rsidRPr="00E8736F">
              <w:rPr>
                <w:rFonts w:ascii="Times New Roman" w:eastAsia="Times New Roman" w:hAnsi="Times New Roman" w:cs="Times New Roman"/>
                <w:sz w:val="24"/>
                <w:szCs w:val="24"/>
                <w:lang w:eastAsia="ru-RU"/>
              </w:rPr>
              <w:t xml:space="preserve">№ </w:t>
            </w:r>
            <w:proofErr w:type="spellStart"/>
            <w:r w:rsidRPr="00E8736F">
              <w:rPr>
                <w:rFonts w:ascii="Times New Roman" w:eastAsia="Times New Roman" w:hAnsi="Times New Roman" w:cs="Times New Roman"/>
                <w:sz w:val="24"/>
                <w:szCs w:val="24"/>
                <w:lang w:eastAsia="ru-RU"/>
              </w:rPr>
              <w:t>пп</w:t>
            </w:r>
            <w:proofErr w:type="spellEnd"/>
          </w:p>
        </w:tc>
        <w:tc>
          <w:tcPr>
            <w:tcW w:w="4170" w:type="dxa"/>
            <w:tcBorders>
              <w:top w:val="single" w:sz="4" w:space="0" w:color="auto"/>
              <w:left w:val="nil"/>
              <w:bottom w:val="nil"/>
              <w:right w:val="single" w:sz="4" w:space="0" w:color="auto"/>
            </w:tcBorders>
            <w:shd w:val="clear" w:color="auto" w:fill="auto"/>
            <w:vAlign w:val="center"/>
            <w:hideMark/>
          </w:tcPr>
          <w:p w:rsidR="00DC3041" w:rsidRPr="00E8736F" w:rsidRDefault="00DC3041" w:rsidP="002C3DBE">
            <w:pPr>
              <w:spacing w:after="0" w:line="240" w:lineRule="auto"/>
              <w:jc w:val="center"/>
              <w:rPr>
                <w:rFonts w:ascii="Times New Roman" w:eastAsia="Times New Roman" w:hAnsi="Times New Roman" w:cs="Times New Roman"/>
                <w:sz w:val="24"/>
                <w:szCs w:val="24"/>
                <w:lang w:eastAsia="ru-RU"/>
              </w:rPr>
            </w:pPr>
            <w:r w:rsidRPr="00E8736F">
              <w:rPr>
                <w:rFonts w:ascii="Times New Roman" w:eastAsia="Times New Roman" w:hAnsi="Times New Roman" w:cs="Times New Roman"/>
                <w:sz w:val="24"/>
                <w:szCs w:val="24"/>
                <w:lang w:eastAsia="ru-RU"/>
              </w:rPr>
              <w:t>Наименование</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DC3041" w:rsidRPr="00E8736F" w:rsidRDefault="00DC3041" w:rsidP="002C3DBE">
            <w:pPr>
              <w:spacing w:after="0" w:line="240" w:lineRule="auto"/>
              <w:jc w:val="center"/>
              <w:rPr>
                <w:rFonts w:ascii="Times New Roman" w:eastAsia="Times New Roman" w:hAnsi="Times New Roman" w:cs="Times New Roman"/>
                <w:sz w:val="24"/>
                <w:szCs w:val="24"/>
                <w:lang w:eastAsia="ru-RU"/>
              </w:rPr>
            </w:pPr>
            <w:r w:rsidRPr="00E8736F">
              <w:rPr>
                <w:rFonts w:ascii="Times New Roman" w:eastAsia="Times New Roman" w:hAnsi="Times New Roman" w:cs="Times New Roman"/>
                <w:sz w:val="24"/>
                <w:szCs w:val="24"/>
                <w:lang w:eastAsia="ru-RU"/>
              </w:rPr>
              <w:t>Ед. изм.</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DC3041" w:rsidRPr="00E8736F" w:rsidRDefault="00DC3041" w:rsidP="002C3DBE">
            <w:pPr>
              <w:spacing w:after="0" w:line="240" w:lineRule="auto"/>
              <w:jc w:val="center"/>
              <w:rPr>
                <w:rFonts w:ascii="Times New Roman" w:eastAsia="Times New Roman" w:hAnsi="Times New Roman" w:cs="Times New Roman"/>
                <w:sz w:val="24"/>
                <w:szCs w:val="24"/>
                <w:lang w:eastAsia="ru-RU"/>
              </w:rPr>
            </w:pPr>
            <w:r w:rsidRPr="00E8736F">
              <w:rPr>
                <w:rFonts w:ascii="Times New Roman" w:eastAsia="Times New Roman" w:hAnsi="Times New Roman" w:cs="Times New Roman"/>
                <w:sz w:val="24"/>
                <w:szCs w:val="24"/>
                <w:lang w:eastAsia="ru-RU"/>
              </w:rPr>
              <w:t>Кол.</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4"/>
                <w:szCs w:val="24"/>
                <w:lang w:eastAsia="ru-RU"/>
              </w:rPr>
            </w:pPr>
            <w:r w:rsidRPr="00E8736F">
              <w:rPr>
                <w:rFonts w:ascii="Times New Roman" w:eastAsia="Times New Roman" w:hAnsi="Times New Roman" w:cs="Times New Roman"/>
                <w:sz w:val="24"/>
                <w:szCs w:val="24"/>
                <w:lang w:eastAsia="ru-RU"/>
              </w:rPr>
              <w:t>Примечание</w:t>
            </w:r>
          </w:p>
        </w:tc>
      </w:tr>
      <w:tr w:rsidR="00DC3041" w:rsidRPr="00E8736F" w:rsidTr="002C3DBE">
        <w:trPr>
          <w:trHeight w:val="264"/>
        </w:trPr>
        <w:tc>
          <w:tcPr>
            <w:tcW w:w="661" w:type="dxa"/>
            <w:tcBorders>
              <w:top w:val="nil"/>
              <w:left w:val="single" w:sz="4" w:space="0" w:color="auto"/>
              <w:bottom w:val="nil"/>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1</w:t>
            </w:r>
          </w:p>
        </w:tc>
        <w:tc>
          <w:tcPr>
            <w:tcW w:w="4170" w:type="dxa"/>
            <w:tcBorders>
              <w:top w:val="single" w:sz="4" w:space="0" w:color="auto"/>
              <w:left w:val="nil"/>
              <w:bottom w:val="nil"/>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2</w:t>
            </w:r>
          </w:p>
        </w:tc>
        <w:tc>
          <w:tcPr>
            <w:tcW w:w="1573" w:type="dxa"/>
            <w:tcBorders>
              <w:top w:val="nil"/>
              <w:left w:val="nil"/>
              <w:bottom w:val="nil"/>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3</w:t>
            </w:r>
          </w:p>
        </w:tc>
        <w:tc>
          <w:tcPr>
            <w:tcW w:w="1066" w:type="dxa"/>
            <w:tcBorders>
              <w:top w:val="nil"/>
              <w:left w:val="nil"/>
              <w:bottom w:val="nil"/>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4</w:t>
            </w:r>
          </w:p>
        </w:tc>
        <w:tc>
          <w:tcPr>
            <w:tcW w:w="1600" w:type="dxa"/>
            <w:tcBorders>
              <w:top w:val="nil"/>
              <w:left w:val="nil"/>
              <w:bottom w:val="nil"/>
              <w:right w:val="single" w:sz="4" w:space="0" w:color="auto"/>
            </w:tcBorders>
            <w:shd w:val="clear" w:color="auto" w:fill="auto"/>
            <w:noWrap/>
            <w:vAlign w:val="center"/>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6</w:t>
            </w:r>
          </w:p>
        </w:tc>
      </w:tr>
      <w:tr w:rsidR="00DC3041" w:rsidRPr="00E8736F" w:rsidTr="002C3DBE">
        <w:trPr>
          <w:trHeight w:val="414"/>
        </w:trPr>
        <w:tc>
          <w:tcPr>
            <w:tcW w:w="9070" w:type="dxa"/>
            <w:gridSpan w:val="5"/>
            <w:tcBorders>
              <w:top w:val="single" w:sz="4" w:space="0" w:color="auto"/>
              <w:left w:val="single" w:sz="4" w:space="0" w:color="auto"/>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 материалы перед монтажом согласовывать с Заказчиком.</w:t>
            </w:r>
          </w:p>
        </w:tc>
      </w:tr>
      <w:tr w:rsidR="00DC3041" w:rsidRPr="00E8736F" w:rsidTr="002C3DBE">
        <w:trPr>
          <w:trHeight w:val="414"/>
        </w:trPr>
        <w:tc>
          <w:tcPr>
            <w:tcW w:w="9070" w:type="dxa"/>
            <w:gridSpan w:val="5"/>
            <w:tcBorders>
              <w:top w:val="single" w:sz="4" w:space="0" w:color="auto"/>
              <w:left w:val="single" w:sz="4" w:space="0" w:color="auto"/>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Кровля </w:t>
            </w:r>
          </w:p>
        </w:tc>
      </w:tr>
      <w:tr w:rsidR="00DC3041" w:rsidRPr="00E8736F" w:rsidTr="002C3DBE">
        <w:trPr>
          <w:trHeight w:val="396"/>
        </w:trPr>
        <w:tc>
          <w:tcPr>
            <w:tcW w:w="9070" w:type="dxa"/>
            <w:gridSpan w:val="5"/>
            <w:tcBorders>
              <w:top w:val="single" w:sz="4" w:space="0" w:color="auto"/>
              <w:left w:val="single" w:sz="4" w:space="0" w:color="auto"/>
              <w:bottom w:val="single" w:sz="4" w:space="0" w:color="auto"/>
              <w:right w:val="single" w:sz="4" w:space="0" w:color="auto"/>
            </w:tcBorders>
            <w:shd w:val="clear" w:color="auto" w:fill="auto"/>
            <w:hideMark/>
          </w:tcPr>
          <w:p w:rsidR="00DC3041" w:rsidRPr="00940159" w:rsidRDefault="00DC3041" w:rsidP="002C3DBE">
            <w:pPr>
              <w:spacing w:after="0" w:line="240" w:lineRule="auto"/>
              <w:jc w:val="center"/>
              <w:rPr>
                <w:rFonts w:ascii="Times New Roman" w:eastAsia="Times New Roman" w:hAnsi="Times New Roman" w:cs="Times New Roman"/>
                <w:b/>
                <w:lang w:eastAsia="ru-RU"/>
              </w:rPr>
            </w:pPr>
            <w:r w:rsidRPr="00940159">
              <w:rPr>
                <w:rFonts w:ascii="Times New Roman" w:eastAsia="Times New Roman" w:hAnsi="Times New Roman" w:cs="Times New Roman"/>
                <w:b/>
                <w:lang w:eastAsia="ru-RU"/>
              </w:rPr>
              <w:t>Демонтаж</w:t>
            </w: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170"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Разборка покрытий кровель: из рулонных материалов</w:t>
            </w:r>
            <w:r>
              <w:rPr>
                <w:rFonts w:ascii="Times New Roman" w:eastAsia="Times New Roman" w:hAnsi="Times New Roman" w:cs="Times New Roman"/>
                <w:sz w:val="20"/>
                <w:szCs w:val="20"/>
                <w:lang w:eastAsia="ru-RU"/>
              </w:rPr>
              <w:t xml:space="preserve"> 4слоя</w:t>
            </w:r>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roofErr w:type="gramStart"/>
            <w:r w:rsidRPr="00E8736F">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1098</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170"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Разборка асфальтобетонной стяжки</w:t>
            </w:r>
            <w:r w:rsidRPr="00E8736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толщиной 30 мм</w:t>
            </w:r>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roofErr w:type="gramStart"/>
            <w:r w:rsidRPr="00E8736F">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1098</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639"/>
        </w:trPr>
        <w:tc>
          <w:tcPr>
            <w:tcW w:w="661" w:type="dxa"/>
            <w:tcBorders>
              <w:top w:val="nil"/>
              <w:left w:val="single" w:sz="4" w:space="0" w:color="auto"/>
              <w:bottom w:val="single" w:sz="4" w:space="0" w:color="auto"/>
              <w:right w:val="single" w:sz="4" w:space="0" w:color="auto"/>
            </w:tcBorders>
            <w:shd w:val="clear" w:color="auto" w:fill="auto"/>
            <w:noWrap/>
          </w:tcPr>
          <w:p w:rsidR="00DC3041" w:rsidRPr="00DB1F7D" w:rsidRDefault="00DC3041" w:rsidP="002C3DBE">
            <w:pPr>
              <w:jc w:val="center"/>
            </w:pPr>
            <w:r>
              <w:t>3</w:t>
            </w:r>
          </w:p>
        </w:tc>
        <w:tc>
          <w:tcPr>
            <w:tcW w:w="4170" w:type="dxa"/>
            <w:tcBorders>
              <w:top w:val="nil"/>
              <w:left w:val="nil"/>
              <w:bottom w:val="single" w:sz="4" w:space="0" w:color="auto"/>
              <w:right w:val="single" w:sz="4" w:space="0" w:color="auto"/>
            </w:tcBorders>
            <w:shd w:val="clear" w:color="auto" w:fill="auto"/>
          </w:tcPr>
          <w:p w:rsidR="00DC3041" w:rsidRPr="00DB1F7D" w:rsidRDefault="00DC3041" w:rsidP="002C3DBE">
            <w:r>
              <w:t>демонтаж</w:t>
            </w:r>
            <w:r w:rsidRPr="00547202">
              <w:t xml:space="preserve"> мелких покрытий из оцинко</w:t>
            </w:r>
            <w:r>
              <w:t>ванной стали толщиной 0,7  H-4</w:t>
            </w:r>
            <w:r w:rsidRPr="00547202">
              <w:t>00mm</w:t>
            </w:r>
          </w:p>
        </w:tc>
        <w:tc>
          <w:tcPr>
            <w:tcW w:w="1573" w:type="dxa"/>
            <w:tcBorders>
              <w:top w:val="nil"/>
              <w:left w:val="nil"/>
              <w:bottom w:val="single" w:sz="4" w:space="0" w:color="auto"/>
              <w:right w:val="single" w:sz="4" w:space="0" w:color="auto"/>
            </w:tcBorders>
            <w:shd w:val="clear" w:color="auto" w:fill="auto"/>
          </w:tcPr>
          <w:p w:rsidR="00DC3041" w:rsidRPr="00DB1F7D" w:rsidRDefault="00DC3041" w:rsidP="002C3DBE">
            <w:pPr>
              <w:jc w:val="center"/>
            </w:pPr>
            <w:proofErr w:type="spellStart"/>
            <w:r>
              <w:t>П.м</w:t>
            </w:r>
            <w:proofErr w:type="spellEnd"/>
            <w:r>
              <w:t>.</w:t>
            </w:r>
          </w:p>
        </w:tc>
        <w:tc>
          <w:tcPr>
            <w:tcW w:w="1066" w:type="dxa"/>
            <w:tcBorders>
              <w:top w:val="nil"/>
              <w:left w:val="nil"/>
              <w:bottom w:val="single" w:sz="4" w:space="0" w:color="auto"/>
              <w:right w:val="single" w:sz="4" w:space="0" w:color="auto"/>
            </w:tcBorders>
            <w:shd w:val="clear" w:color="auto" w:fill="auto"/>
          </w:tcPr>
          <w:p w:rsidR="00DC3041" w:rsidRPr="00DB1F7D" w:rsidRDefault="00DC3041" w:rsidP="002C3DBE">
            <w:pPr>
              <w:jc w:val="center"/>
            </w:pPr>
            <w:r>
              <w:t>130</w:t>
            </w:r>
          </w:p>
        </w:tc>
        <w:tc>
          <w:tcPr>
            <w:tcW w:w="1600" w:type="dxa"/>
            <w:tcBorders>
              <w:top w:val="nil"/>
              <w:left w:val="nil"/>
              <w:bottom w:val="single" w:sz="4" w:space="0" w:color="auto"/>
              <w:right w:val="single" w:sz="4" w:space="0" w:color="auto"/>
            </w:tcBorders>
            <w:shd w:val="clear" w:color="auto" w:fill="auto"/>
            <w:noWrap/>
          </w:tcPr>
          <w:p w:rsidR="00DC3041" w:rsidRDefault="00DC3041" w:rsidP="002C3DBE"/>
        </w:tc>
      </w:tr>
      <w:tr w:rsidR="00DC3041" w:rsidRPr="00E8736F" w:rsidTr="002C3DBE">
        <w:trPr>
          <w:trHeight w:val="264"/>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170"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Демонтаж металлической решетки 1500х 4200 мм.</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066"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170"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Демонтаж отбойными молотками керамзитобетонной панели 1500х4200мм толщ.-300мм. (</w:t>
            </w:r>
            <w:proofErr w:type="spellStart"/>
            <w:r>
              <w:rPr>
                <w:rFonts w:ascii="Times New Roman" w:eastAsia="Times New Roman" w:hAnsi="Times New Roman" w:cs="Times New Roman"/>
                <w:sz w:val="20"/>
                <w:szCs w:val="20"/>
                <w:lang w:eastAsia="ru-RU"/>
              </w:rPr>
              <w:t>сушеств</w:t>
            </w:r>
            <w:proofErr w:type="spellEnd"/>
            <w:r>
              <w:rPr>
                <w:rFonts w:ascii="Times New Roman" w:eastAsia="Times New Roman" w:hAnsi="Times New Roman" w:cs="Times New Roman"/>
                <w:sz w:val="20"/>
                <w:szCs w:val="20"/>
                <w:lang w:eastAsia="ru-RU"/>
              </w:rPr>
              <w:t>. панель</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М3</w:t>
            </w:r>
          </w:p>
        </w:tc>
        <w:tc>
          <w:tcPr>
            <w:tcW w:w="1066"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p>
        </w:tc>
      </w:tr>
      <w:tr w:rsidR="00DC3041" w:rsidRPr="00E8736F" w:rsidTr="002C3DBE">
        <w:trPr>
          <w:trHeight w:val="396"/>
        </w:trPr>
        <w:tc>
          <w:tcPr>
            <w:tcW w:w="9070" w:type="dxa"/>
            <w:gridSpan w:val="5"/>
            <w:tcBorders>
              <w:top w:val="single" w:sz="4" w:space="0" w:color="auto"/>
              <w:left w:val="single" w:sz="4" w:space="0" w:color="auto"/>
              <w:bottom w:val="single" w:sz="4" w:space="0" w:color="auto"/>
              <w:right w:val="single" w:sz="4" w:space="0" w:color="auto"/>
            </w:tcBorders>
            <w:shd w:val="clear" w:color="auto" w:fill="auto"/>
            <w:hideMark/>
          </w:tcPr>
          <w:p w:rsidR="00DC3041" w:rsidRPr="00940159" w:rsidRDefault="00DC3041" w:rsidP="002C3DBE">
            <w:pPr>
              <w:spacing w:after="0" w:line="240" w:lineRule="auto"/>
              <w:jc w:val="center"/>
              <w:rPr>
                <w:rFonts w:ascii="Times New Roman" w:eastAsia="Times New Roman" w:hAnsi="Times New Roman" w:cs="Times New Roman"/>
                <w:b/>
                <w:lang w:eastAsia="ru-RU"/>
              </w:rPr>
            </w:pPr>
            <w:r w:rsidRPr="00940159">
              <w:rPr>
                <w:rFonts w:ascii="Times New Roman" w:eastAsia="Times New Roman" w:hAnsi="Times New Roman" w:cs="Times New Roman"/>
                <w:b/>
                <w:lang w:eastAsia="ru-RU"/>
              </w:rPr>
              <w:t>Устройство кровли</w:t>
            </w: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tcPr>
          <w:p w:rsidR="00DC3041"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170"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кладки из керамического кирпича</w:t>
            </w:r>
          </w:p>
          <w:p w:rsidR="00DC3041"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2700х250х350</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М3</w:t>
            </w:r>
          </w:p>
        </w:tc>
        <w:tc>
          <w:tcPr>
            <w:tcW w:w="1066"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0,236</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170" w:type="dxa"/>
            <w:tcBorders>
              <w:top w:val="nil"/>
              <w:left w:val="nil"/>
              <w:bottom w:val="single" w:sz="4" w:space="0" w:color="auto"/>
              <w:right w:val="single" w:sz="4" w:space="0" w:color="auto"/>
            </w:tcBorders>
            <w:shd w:val="clear" w:color="auto" w:fill="auto"/>
            <w:hideMark/>
          </w:tcPr>
          <w:p w:rsidR="00DC3041" w:rsidRPr="00130C9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Устройство мелких покрытий из оцинкованной стали толщиной 0,7  </w:t>
            </w:r>
            <w:r>
              <w:rPr>
                <w:rFonts w:ascii="Times New Roman" w:eastAsia="Times New Roman" w:hAnsi="Times New Roman" w:cs="Times New Roman"/>
                <w:sz w:val="20"/>
                <w:szCs w:val="20"/>
                <w:lang w:val="en-US" w:eastAsia="ru-RU"/>
              </w:rPr>
              <w:t>H</w:t>
            </w:r>
            <w:r>
              <w:rPr>
                <w:rFonts w:ascii="Times New Roman" w:eastAsia="Times New Roman" w:hAnsi="Times New Roman" w:cs="Times New Roman"/>
                <w:sz w:val="20"/>
                <w:szCs w:val="20"/>
                <w:lang w:eastAsia="ru-RU"/>
              </w:rPr>
              <w:t>-4</w:t>
            </w:r>
            <w:r w:rsidRPr="00130C9F">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val="en-US" w:eastAsia="ru-RU"/>
              </w:rPr>
              <w:t>mm</w:t>
            </w:r>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roofErr w:type="gramStart"/>
            <w:r w:rsidRPr="00E8736F">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tcPr>
          <w:p w:rsidR="00DC3041"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170"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Устройство </w:t>
            </w:r>
            <w:proofErr w:type="spellStart"/>
            <w:r>
              <w:rPr>
                <w:rFonts w:ascii="Times New Roman" w:eastAsia="Times New Roman" w:hAnsi="Times New Roman" w:cs="Times New Roman"/>
                <w:sz w:val="20"/>
                <w:szCs w:val="20"/>
                <w:lang w:eastAsia="ru-RU"/>
              </w:rPr>
              <w:t>разуклонки</w:t>
            </w:r>
            <w:proofErr w:type="spellEnd"/>
            <w:r>
              <w:rPr>
                <w:rFonts w:ascii="Times New Roman" w:eastAsia="Times New Roman" w:hAnsi="Times New Roman" w:cs="Times New Roman"/>
                <w:sz w:val="20"/>
                <w:szCs w:val="20"/>
                <w:lang w:eastAsia="ru-RU"/>
              </w:rPr>
              <w:t xml:space="preserve"> из существующего керамзита.</w:t>
            </w:r>
          </w:p>
        </w:tc>
        <w:tc>
          <w:tcPr>
            <w:tcW w:w="1573"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roofErr w:type="gramStart"/>
            <w:r>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1098</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 стоимости материала</w:t>
            </w: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170"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стяжки цементно-песчаной (</w:t>
            </w:r>
            <w:proofErr w:type="gramStart"/>
            <w:r>
              <w:rPr>
                <w:rFonts w:ascii="Times New Roman" w:eastAsia="Times New Roman" w:hAnsi="Times New Roman" w:cs="Times New Roman"/>
                <w:sz w:val="20"/>
                <w:szCs w:val="20"/>
                <w:lang w:eastAsia="ru-RU"/>
              </w:rPr>
              <w:t>полусухая</w:t>
            </w:r>
            <w:proofErr w:type="gramEnd"/>
            <w:r>
              <w:rPr>
                <w:rFonts w:ascii="Times New Roman" w:eastAsia="Times New Roman" w:hAnsi="Times New Roman" w:cs="Times New Roman"/>
                <w:sz w:val="20"/>
                <w:szCs w:val="20"/>
                <w:lang w:eastAsia="ru-RU"/>
              </w:rPr>
              <w:t>)  толщ 50мм</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roofErr w:type="gramStart"/>
            <w:r>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1098</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p>
        </w:tc>
      </w:tr>
      <w:tr w:rsidR="00DC3041" w:rsidRPr="00E8736F" w:rsidTr="002C3DBE">
        <w:trPr>
          <w:trHeight w:val="528"/>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4170"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Устройство кровель плоских из наплавляемых материалов: в два слоя</w:t>
            </w:r>
            <w:r>
              <w:t xml:space="preserve"> (</w:t>
            </w:r>
            <w:proofErr w:type="spellStart"/>
            <w:r>
              <w:rPr>
                <w:rFonts w:ascii="Times New Roman" w:eastAsia="Times New Roman" w:hAnsi="Times New Roman" w:cs="Times New Roman"/>
                <w:sz w:val="20"/>
                <w:szCs w:val="20"/>
                <w:lang w:eastAsia="ru-RU"/>
              </w:rPr>
              <w:t>Биполь</w:t>
            </w:r>
            <w:proofErr w:type="spellEnd"/>
            <w:r w:rsidRPr="00D73A9B">
              <w:rPr>
                <w:rFonts w:ascii="Times New Roman" w:eastAsia="Times New Roman" w:hAnsi="Times New Roman" w:cs="Times New Roman"/>
                <w:sz w:val="20"/>
                <w:szCs w:val="20"/>
                <w:lang w:eastAsia="ru-RU"/>
              </w:rPr>
              <w:t xml:space="preserve"> ЭПВ</w:t>
            </w:r>
            <w:r>
              <w:rPr>
                <w:rFonts w:ascii="Times New Roman" w:eastAsia="Times New Roman" w:hAnsi="Times New Roman" w:cs="Times New Roman"/>
                <w:sz w:val="20"/>
                <w:szCs w:val="20"/>
                <w:lang w:eastAsia="ru-RU"/>
              </w:rPr>
              <w:t>;</w:t>
            </w:r>
            <w:r>
              <w:t xml:space="preserve"> </w:t>
            </w:r>
            <w:proofErr w:type="spellStart"/>
            <w:r>
              <w:rPr>
                <w:rFonts w:ascii="Times New Roman" w:eastAsia="Times New Roman" w:hAnsi="Times New Roman" w:cs="Times New Roman"/>
                <w:sz w:val="20"/>
                <w:szCs w:val="20"/>
                <w:lang w:eastAsia="ru-RU"/>
              </w:rPr>
              <w:t>Биполь</w:t>
            </w:r>
            <w:proofErr w:type="spellEnd"/>
            <w:r w:rsidRPr="00D73A9B">
              <w:rPr>
                <w:rFonts w:ascii="Times New Roman" w:eastAsia="Times New Roman" w:hAnsi="Times New Roman" w:cs="Times New Roman"/>
                <w:sz w:val="20"/>
                <w:szCs w:val="20"/>
                <w:lang w:eastAsia="ru-RU"/>
              </w:rPr>
              <w:t xml:space="preserve"> ЭКП</w:t>
            </w:r>
            <w:r>
              <w:rPr>
                <w:rFonts w:ascii="Times New Roman" w:eastAsia="Times New Roman" w:hAnsi="Times New Roman" w:cs="Times New Roman"/>
                <w:sz w:val="20"/>
                <w:szCs w:val="20"/>
                <w:lang w:eastAsia="ru-RU"/>
              </w:rPr>
              <w:t>)</w:t>
            </w:r>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roofErr w:type="gramStart"/>
            <w:r w:rsidRPr="00E8736F">
              <w:rPr>
                <w:rFonts w:ascii="Times New Roman" w:eastAsia="Times New Roman" w:hAnsi="Times New Roman" w:cs="Times New Roman"/>
                <w:sz w:val="20"/>
                <w:szCs w:val="20"/>
                <w:lang w:eastAsia="ru-RU"/>
              </w:rPr>
              <w:t>2</w:t>
            </w:r>
            <w:proofErr w:type="gramEnd"/>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1098</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792"/>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170"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Устройство примыканий рулонных и мастичных кровель к стенам и парапетам</w:t>
            </w:r>
            <w:r>
              <w:rPr>
                <w:rFonts w:ascii="Times New Roman" w:eastAsia="Times New Roman" w:hAnsi="Times New Roman" w:cs="Times New Roman"/>
                <w:sz w:val="20"/>
                <w:szCs w:val="20"/>
                <w:lang w:eastAsia="ru-RU"/>
              </w:rPr>
              <w:t xml:space="preserve"> высотой: до 600 мм </w:t>
            </w:r>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264"/>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170"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ливневых воронок</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066"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p>
        </w:tc>
      </w:tr>
      <w:tr w:rsidR="00DC3041" w:rsidRPr="00E8736F" w:rsidTr="002C3DBE">
        <w:trPr>
          <w:trHeight w:val="264"/>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170"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ливневой канализации из ПВХ ф100 мм  с выпуском на улицу</w:t>
            </w: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1066"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Отводы 45 -10шт</w:t>
            </w:r>
          </w:p>
        </w:tc>
      </w:tr>
      <w:tr w:rsidR="00DC3041" w:rsidRPr="00E8736F" w:rsidTr="002C3DBE">
        <w:trPr>
          <w:trHeight w:val="774"/>
        </w:trPr>
        <w:tc>
          <w:tcPr>
            <w:tcW w:w="661" w:type="dxa"/>
            <w:tcBorders>
              <w:top w:val="nil"/>
              <w:left w:val="single" w:sz="4" w:space="0" w:color="auto"/>
              <w:bottom w:val="single" w:sz="4" w:space="0" w:color="auto"/>
              <w:right w:val="single" w:sz="4" w:space="0" w:color="auto"/>
            </w:tcBorders>
            <w:shd w:val="clear" w:color="auto" w:fill="auto"/>
            <w:noWrap/>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170" w:type="dxa"/>
            <w:tcBorders>
              <w:top w:val="nil"/>
              <w:left w:val="nil"/>
              <w:bottom w:val="single" w:sz="4" w:space="0" w:color="auto"/>
              <w:right w:val="single" w:sz="4" w:space="0" w:color="auto"/>
            </w:tcBorders>
            <w:shd w:val="clear" w:color="auto" w:fill="auto"/>
          </w:tcPr>
          <w:p w:rsidR="00DC3041"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Устройство температурного шва из </w:t>
            </w:r>
            <w:proofErr w:type="spellStart"/>
            <w:r>
              <w:rPr>
                <w:rFonts w:ascii="Times New Roman" w:eastAsia="Times New Roman" w:hAnsi="Times New Roman" w:cs="Times New Roman"/>
                <w:sz w:val="20"/>
                <w:szCs w:val="20"/>
                <w:lang w:eastAsia="ru-RU"/>
              </w:rPr>
              <w:t>минваты</w:t>
            </w:r>
            <w:proofErr w:type="spellEnd"/>
          </w:p>
          <w:p w:rsidR="00DC3041" w:rsidRPr="00887CA7" w:rsidRDefault="00DC3041" w:rsidP="002C3DBE">
            <w:pPr>
              <w:spacing w:after="0" w:line="240" w:lineRule="auto"/>
              <w:rPr>
                <w:rFonts w:ascii="Times New Roman" w:eastAsia="Times New Roman" w:hAnsi="Times New Roman" w:cs="Times New Roman"/>
                <w:sz w:val="20"/>
                <w:szCs w:val="20"/>
                <w:lang w:eastAsia="ru-RU"/>
              </w:rPr>
            </w:pPr>
          </w:p>
        </w:tc>
        <w:tc>
          <w:tcPr>
            <w:tcW w:w="1573"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М3</w:t>
            </w:r>
          </w:p>
        </w:tc>
        <w:tc>
          <w:tcPr>
            <w:tcW w:w="1066" w:type="dxa"/>
            <w:tcBorders>
              <w:top w:val="nil"/>
              <w:left w:val="nil"/>
              <w:bottom w:val="single" w:sz="4" w:space="0" w:color="auto"/>
              <w:right w:val="single" w:sz="4" w:space="0" w:color="auto"/>
            </w:tcBorders>
            <w:shd w:val="clear" w:color="auto" w:fill="auto"/>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600" w:type="dxa"/>
            <w:tcBorders>
              <w:top w:val="nil"/>
              <w:left w:val="nil"/>
              <w:bottom w:val="single" w:sz="4" w:space="0" w:color="auto"/>
              <w:right w:val="single" w:sz="4" w:space="0" w:color="auto"/>
            </w:tcBorders>
            <w:shd w:val="clear" w:color="auto" w:fill="auto"/>
            <w:noWrap/>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заказчика </w:t>
            </w:r>
          </w:p>
        </w:tc>
      </w:tr>
      <w:tr w:rsidR="00DC3041" w:rsidRPr="00E8736F" w:rsidTr="002C3DBE">
        <w:trPr>
          <w:trHeight w:val="792"/>
        </w:trPr>
        <w:tc>
          <w:tcPr>
            <w:tcW w:w="661" w:type="dxa"/>
            <w:tcBorders>
              <w:top w:val="nil"/>
              <w:left w:val="single" w:sz="4" w:space="0" w:color="auto"/>
              <w:bottom w:val="single" w:sz="4" w:space="0" w:color="auto"/>
              <w:right w:val="single" w:sz="4" w:space="0" w:color="auto"/>
            </w:tcBorders>
            <w:shd w:val="clear" w:color="auto" w:fill="auto"/>
            <w:noWrap/>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4170"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Установка прижимной планки с гидроизоляцией </w:t>
            </w:r>
            <w:proofErr w:type="gramStart"/>
            <w:r w:rsidRPr="00E8736F">
              <w:rPr>
                <w:rFonts w:ascii="Times New Roman" w:eastAsia="Times New Roman" w:hAnsi="Times New Roman" w:cs="Times New Roman"/>
                <w:sz w:val="20"/>
                <w:szCs w:val="20"/>
                <w:lang w:eastAsia="ru-RU"/>
              </w:rPr>
              <w:t>полиуретановым</w:t>
            </w:r>
            <w:proofErr w:type="gramEnd"/>
            <w:r>
              <w:rPr>
                <w:rFonts w:ascii="Times New Roman" w:eastAsia="Times New Roman" w:hAnsi="Times New Roman" w:cs="Times New Roman"/>
                <w:sz w:val="20"/>
                <w:szCs w:val="20"/>
                <w:lang w:eastAsia="ru-RU"/>
              </w:rPr>
              <w:t xml:space="preserve"> </w:t>
            </w:r>
            <w:r w:rsidRPr="00E8736F">
              <w:rPr>
                <w:rFonts w:ascii="Times New Roman" w:eastAsia="Times New Roman" w:hAnsi="Times New Roman" w:cs="Times New Roman"/>
                <w:sz w:val="20"/>
                <w:szCs w:val="20"/>
                <w:lang w:eastAsia="ru-RU"/>
              </w:rPr>
              <w:t xml:space="preserve"> </w:t>
            </w:r>
            <w:proofErr w:type="spellStart"/>
            <w:r w:rsidRPr="00E8736F">
              <w:rPr>
                <w:rFonts w:ascii="Times New Roman" w:eastAsia="Times New Roman" w:hAnsi="Times New Roman" w:cs="Times New Roman"/>
                <w:sz w:val="20"/>
                <w:szCs w:val="20"/>
                <w:lang w:eastAsia="ru-RU"/>
              </w:rPr>
              <w:t>герметиком</w:t>
            </w:r>
            <w:proofErr w:type="spellEnd"/>
          </w:p>
        </w:tc>
        <w:tc>
          <w:tcPr>
            <w:tcW w:w="1573"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xml:space="preserve"> м</w:t>
            </w:r>
          </w:p>
        </w:tc>
        <w:tc>
          <w:tcPr>
            <w:tcW w:w="1066" w:type="dxa"/>
            <w:tcBorders>
              <w:top w:val="nil"/>
              <w:left w:val="nil"/>
              <w:bottom w:val="single" w:sz="4" w:space="0" w:color="auto"/>
              <w:right w:val="single" w:sz="4" w:space="0" w:color="auto"/>
            </w:tcBorders>
            <w:shd w:val="clear" w:color="auto" w:fill="auto"/>
            <w:hideMark/>
          </w:tcPr>
          <w:p w:rsidR="00DC3041" w:rsidRPr="00E8736F" w:rsidRDefault="00DC3041" w:rsidP="002C3DB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1600" w:type="dxa"/>
            <w:tcBorders>
              <w:top w:val="nil"/>
              <w:left w:val="nil"/>
              <w:bottom w:val="single" w:sz="4" w:space="0" w:color="auto"/>
              <w:right w:val="single" w:sz="4" w:space="0" w:color="auto"/>
            </w:tcBorders>
            <w:shd w:val="clear" w:color="auto" w:fill="auto"/>
            <w:noWrap/>
            <w:hideMark/>
          </w:tcPr>
          <w:p w:rsidR="00DC3041" w:rsidRPr="00E8736F" w:rsidRDefault="00DC3041" w:rsidP="002C3DBE">
            <w:pPr>
              <w:spacing w:after="0" w:line="240" w:lineRule="auto"/>
              <w:rPr>
                <w:rFonts w:ascii="Times New Roman" w:eastAsia="Times New Roman" w:hAnsi="Times New Roman" w:cs="Times New Roman"/>
                <w:sz w:val="20"/>
                <w:szCs w:val="20"/>
                <w:lang w:eastAsia="ru-RU"/>
              </w:rPr>
            </w:pPr>
            <w:r w:rsidRPr="00E8736F">
              <w:rPr>
                <w:rFonts w:ascii="Times New Roman" w:eastAsia="Times New Roman" w:hAnsi="Times New Roman" w:cs="Times New Roman"/>
                <w:sz w:val="20"/>
                <w:szCs w:val="20"/>
                <w:lang w:eastAsia="ru-RU"/>
              </w:rPr>
              <w:t> </w:t>
            </w:r>
          </w:p>
        </w:tc>
      </w:tr>
      <w:tr w:rsidR="00DC3041" w:rsidRPr="00E8736F" w:rsidTr="002C3DBE">
        <w:trPr>
          <w:trHeight w:val="414"/>
        </w:trPr>
        <w:tc>
          <w:tcPr>
            <w:tcW w:w="9070" w:type="dxa"/>
            <w:gridSpan w:val="5"/>
            <w:tcBorders>
              <w:top w:val="single" w:sz="4" w:space="0" w:color="auto"/>
              <w:left w:val="single" w:sz="4" w:space="0" w:color="auto"/>
              <w:bottom w:val="single" w:sz="4" w:space="0" w:color="auto"/>
              <w:right w:val="single" w:sz="4" w:space="0" w:color="auto"/>
            </w:tcBorders>
            <w:shd w:val="clear" w:color="auto" w:fill="auto"/>
            <w:hideMark/>
          </w:tcPr>
          <w:p w:rsidR="00DC3041" w:rsidRPr="00E8736F" w:rsidRDefault="00DC3041" w:rsidP="002C3DB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w:t>
            </w:r>
            <w:r w:rsidRPr="00E8736F">
              <w:rPr>
                <w:rFonts w:ascii="Times New Roman" w:eastAsia="Times New Roman" w:hAnsi="Times New Roman" w:cs="Times New Roman"/>
                <w:b/>
                <w:bCs/>
                <w:lang w:eastAsia="ru-RU"/>
              </w:rPr>
              <w:t>. Разные работы</w:t>
            </w:r>
          </w:p>
        </w:tc>
      </w:tr>
    </w:tbl>
    <w:p w:rsidR="00E5240C" w:rsidRDefault="00E5240C" w:rsidP="00E5240C">
      <w:pPr>
        <w:spacing w:after="0" w:line="240" w:lineRule="auto"/>
        <w:rPr>
          <w:rFonts w:ascii="Times New Roman" w:eastAsia="Times New Roman" w:hAnsi="Times New Roman" w:cs="Times New Roman"/>
          <w:lang w:eastAsia="ru-RU"/>
        </w:rPr>
      </w:pP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B95307">
        <w:rPr>
          <w:rFonts w:ascii="Times New Roman" w:eastAsia="Times New Roman" w:hAnsi="Times New Roman" w:cs="Times New Roman"/>
          <w:lang w:eastAsia="ru-RU"/>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B95307">
        <w:rPr>
          <w:rFonts w:ascii="Times New Roman" w:eastAsia="Times New Roman" w:hAnsi="Times New Roman" w:cs="Times New Roman"/>
          <w:lang w:eastAsia="ru-RU"/>
        </w:rPr>
        <w:t xml:space="preserve"> заключенного Договора о банковском сопровождении.</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На момент заключения настоящего Договора уполномоченным банком Заказчика является ПАО «ПРОМСВЯЗЬБАНК».</w:t>
      </w:r>
    </w:p>
    <w:p w:rsidR="00DC3041" w:rsidRPr="00B95307" w:rsidRDefault="00DC3041" w:rsidP="00DC3041">
      <w:pPr>
        <w:spacing w:after="0" w:line="240" w:lineRule="auto"/>
        <w:rPr>
          <w:rFonts w:ascii="Times New Roman" w:eastAsia="Times New Roman" w:hAnsi="Times New Roman" w:cs="Times New Roman"/>
          <w:lang w:eastAsia="ru-RU"/>
        </w:rPr>
      </w:pP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2.</w:t>
      </w:r>
      <w:r w:rsidRPr="00B95307">
        <w:rPr>
          <w:rFonts w:ascii="Times New Roman" w:eastAsia="Times New Roman" w:hAnsi="Times New Roman" w:cs="Times New Roman"/>
          <w:lang w:eastAsia="ru-RU"/>
        </w:rPr>
        <w:tab/>
        <w:t>Требования к качеству и безопасности работ.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DC3041" w:rsidRPr="00B95307" w:rsidRDefault="00DC3041" w:rsidP="00DC3041">
      <w:pPr>
        <w:spacing w:after="0" w:line="240" w:lineRule="auto"/>
        <w:rPr>
          <w:rFonts w:ascii="Times New Roman" w:eastAsia="Times New Roman" w:hAnsi="Times New Roman" w:cs="Times New Roman"/>
          <w:lang w:eastAsia="ru-RU"/>
        </w:rPr>
      </w:pP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3.Требования к техническим характеристикам работ.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3.1 Требование к выполнению работ.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3.1.3. Подрядчик должен обеспечить содержание и уборку объектов Заказчика, где производятся работы.</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3.2.1. Приемка завершенных работ производится по акту приема-передачи выполненных работ.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3.3. Гарантийные обязательства.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3.3.1. Исполнитель несет ответственность за ненадлежащее выполнение обязательств по настоящему Договору.</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DC3041" w:rsidRPr="00B95307" w:rsidRDefault="00DC3041" w:rsidP="00DC3041">
      <w:pPr>
        <w:spacing w:after="0" w:line="240" w:lineRule="auto"/>
        <w:rPr>
          <w:rFonts w:ascii="Times New Roman" w:eastAsia="Times New Roman" w:hAnsi="Times New Roman" w:cs="Times New Roman"/>
          <w:lang w:eastAsia="ru-RU"/>
        </w:rPr>
      </w:pP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 Требования к Подрядчику.</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4.1. Подрядчик должен обладать гражданской правоспособностью в полном объеме для заключения и исполнения Договора.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4.2.  Не должен находиться в процессе ликвидации, банкротства и на его имущество не должен быть наложен арест.</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4.3. Иметь необходимые разрешительные документы на выполнение соответствующих работ (услуг) – СРО.</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4.4.  Обладать необходимыми профессиональными знаниями, опытом и  репутацией.</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4.5. Иметь ресурсные возможности (финансовые, материально – технические, производственные, трудовые).</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4.6. Обеспечить способность проведения необходимого комплекса работ в требуемые сроки и с должным качеством.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lastRenderedPageBreak/>
        <w:t>4.7. Предоставить смету, выполненную ресурсным методам в ценах Республики Крым.</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4.8. Условия о должной осмотрительности.</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4.8.2. Подрядчик обязан предоставлять вместе с заявкой следующие документы:</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1) Выписка из ЕГРЮЛ или ЕГРИП с печатью ИФНС, либо заверенные исполнительным органом контрагента их копии;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2) Заверенные подрядчиком копии свидетельства о государственной регистрации общества или ИП (ОГРН);</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3) Заверенные подрядчиком копии свидетельства о постановке на учет в налоговом органе по месту регистрации (ИНН);</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 Копия приказа о вступлении в должность единоличного исполнительного органа общества;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6) Устав организации;</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7) Заверенная подрядчиком копия доверенности лица, подписывающего договор (в случае, если договор подписывает не руководитель);</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8) Форма 6-НДФЛ за последний отчетный период;</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9) Реестр 2-НДФЛ за последний отчетный период;</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10) РСВ за последний отчетный период без 3-го раздела;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11) Заверенную подрядчиком копию штатного расписания, включая сведения о штатном заполнении документа;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12) Декларации по НДС и налогу на прибыль (включая уточненные декларации) за последний отчетный период;</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13) Бухгалтерская отчетность за отчетный год;</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14) Данные о наличии складов и офисов;</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 Ответственность.</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5.1</w:t>
      </w:r>
      <w:proofErr w:type="gramStart"/>
      <w:r w:rsidRPr="00B95307">
        <w:rPr>
          <w:rFonts w:ascii="Times New Roman" w:eastAsia="Times New Roman" w:hAnsi="Times New Roman" w:cs="Times New Roman"/>
          <w:lang w:eastAsia="ru-RU"/>
        </w:rPr>
        <w:t xml:space="preserve"> П</w:t>
      </w:r>
      <w:proofErr w:type="gramEnd"/>
      <w:r w:rsidRPr="00B95307">
        <w:rPr>
          <w:rFonts w:ascii="Times New Roman" w:eastAsia="Times New Roman" w:hAnsi="Times New Roman" w:cs="Times New Roman"/>
          <w:lang w:eastAsia="ru-RU"/>
        </w:rPr>
        <w:t>ри нарушении Подрядчиком срока выполнения работ по Договору Подрядчик уплачивает Заказчику неустойку в размере 1,0% от стоимости Договора за каждый день просрочки, а за просрочку более 15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5.2 Уплата неустойки не освобождает Стороны от исполнения обязательств или устранения нарушений.</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5.3 Подрядчик несет ответственность за допущенные отступления от требований технической документации и СНиП.</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5.4  В </w:t>
      </w:r>
      <w:proofErr w:type="gramStart"/>
      <w:r w:rsidRPr="00B95307">
        <w:rPr>
          <w:rFonts w:ascii="Times New Roman" w:eastAsia="Times New Roman" w:hAnsi="Times New Roman" w:cs="Times New Roman"/>
          <w:lang w:eastAsia="ru-RU"/>
        </w:rPr>
        <w:t>случае</w:t>
      </w:r>
      <w:proofErr w:type="gramEnd"/>
      <w:r w:rsidRPr="00B95307">
        <w:rPr>
          <w:rFonts w:ascii="Times New Roman" w:eastAsia="Times New Roman" w:hAnsi="Times New Roman" w:cs="Times New Roman"/>
          <w:lang w:eastAsia="ru-RU"/>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B95307">
        <w:rPr>
          <w:rFonts w:ascii="Times New Roman" w:eastAsia="Times New Roman" w:hAnsi="Times New Roman" w:cs="Times New Roman"/>
          <w:lang w:eastAsia="ru-RU"/>
        </w:rPr>
        <w:t>за</w:t>
      </w:r>
      <w:proofErr w:type="gramEnd"/>
      <w:r w:rsidRPr="00B95307">
        <w:rPr>
          <w:rFonts w:ascii="Times New Roman" w:eastAsia="Times New Roman" w:hAnsi="Times New Roman" w:cs="Times New Roman"/>
          <w:lang w:eastAsia="ru-RU"/>
        </w:rPr>
        <w:t xml:space="preserve"> свои собственные.</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5.7 Ответственность за охрану труда и пожарную безопасность:</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5.7.2 Заказчик имеет право осуществлять </w:t>
      </w:r>
      <w:proofErr w:type="gramStart"/>
      <w:r w:rsidRPr="00B95307">
        <w:rPr>
          <w:rFonts w:ascii="Times New Roman" w:eastAsia="Times New Roman" w:hAnsi="Times New Roman" w:cs="Times New Roman"/>
          <w:lang w:eastAsia="ru-RU"/>
        </w:rPr>
        <w:t>контроль за</w:t>
      </w:r>
      <w:proofErr w:type="gramEnd"/>
      <w:r w:rsidRPr="00B95307">
        <w:rPr>
          <w:rFonts w:ascii="Times New Roman" w:eastAsia="Times New Roman" w:hAnsi="Times New Roman" w:cs="Times New Roman"/>
          <w:lang w:eastAsia="ru-RU"/>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w:t>
      </w:r>
      <w:r w:rsidRPr="00B95307">
        <w:rPr>
          <w:rFonts w:ascii="Times New Roman" w:eastAsia="Times New Roman" w:hAnsi="Times New Roman" w:cs="Times New Roman"/>
          <w:lang w:eastAsia="ru-RU"/>
        </w:rPr>
        <w:lastRenderedPageBreak/>
        <w:t xml:space="preserve">Подрядчика. В </w:t>
      </w:r>
      <w:proofErr w:type="gramStart"/>
      <w:r w:rsidRPr="00B95307">
        <w:rPr>
          <w:rFonts w:ascii="Times New Roman" w:eastAsia="Times New Roman" w:hAnsi="Times New Roman" w:cs="Times New Roman"/>
          <w:lang w:eastAsia="ru-RU"/>
        </w:rPr>
        <w:t>случае</w:t>
      </w:r>
      <w:proofErr w:type="gramEnd"/>
      <w:r w:rsidRPr="00B95307">
        <w:rPr>
          <w:rFonts w:ascii="Times New Roman" w:eastAsia="Times New Roman" w:hAnsi="Times New Roman" w:cs="Times New Roman"/>
          <w:lang w:eastAsia="ru-RU"/>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DC3041" w:rsidRPr="00B95307" w:rsidRDefault="00DC3041" w:rsidP="00DC3041">
      <w:pPr>
        <w:spacing w:after="0" w:line="240" w:lineRule="auto"/>
        <w:rPr>
          <w:rFonts w:ascii="Times New Roman" w:eastAsia="Times New Roman" w:hAnsi="Times New Roman" w:cs="Times New Roman"/>
          <w:lang w:eastAsia="ru-RU"/>
        </w:rPr>
      </w:pP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6.Порядок платежей.</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DC3041" w:rsidRPr="004766C2" w:rsidRDefault="00DC3041" w:rsidP="00DC3041">
      <w:pPr>
        <w:spacing w:after="0" w:line="240" w:lineRule="auto"/>
        <w:rPr>
          <w:rFonts w:ascii="Times New Roman" w:eastAsia="Times New Roman" w:hAnsi="Times New Roman" w:cs="Times New Roman"/>
          <w:b/>
          <w:lang w:eastAsia="ru-RU"/>
        </w:rPr>
      </w:pPr>
      <w:r w:rsidRPr="00B95307">
        <w:rPr>
          <w:rFonts w:ascii="Times New Roman" w:eastAsia="Times New Roman" w:hAnsi="Times New Roman" w:cs="Times New Roman"/>
          <w:lang w:eastAsia="ru-RU"/>
        </w:rPr>
        <w:t>6.</w:t>
      </w:r>
      <w:r w:rsidRPr="004766C2">
        <w:rPr>
          <w:rFonts w:ascii="Times New Roman" w:eastAsia="Times New Roman" w:hAnsi="Times New Roman" w:cs="Times New Roman"/>
          <w:b/>
          <w:lang w:eastAsia="ru-RU"/>
        </w:rPr>
        <w:t xml:space="preserve">3 Начальная (максимальная) стоимость:   </w:t>
      </w:r>
      <w:r>
        <w:rPr>
          <w:rFonts w:ascii="Times New Roman" w:eastAsia="Times New Roman" w:hAnsi="Times New Roman" w:cs="Times New Roman"/>
          <w:b/>
          <w:lang w:eastAsia="ru-RU"/>
        </w:rPr>
        <w:t>3 980 812.80</w:t>
      </w:r>
      <w:r w:rsidRPr="004766C2">
        <w:rPr>
          <w:rFonts w:ascii="Times New Roman" w:eastAsia="Times New Roman" w:hAnsi="Times New Roman" w:cs="Times New Roman"/>
          <w:b/>
          <w:lang w:eastAsia="ru-RU"/>
        </w:rPr>
        <w:t xml:space="preserve"> руб. с НДС.</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В стоимость работ включены НДС, расходы по уплате налогов и сборов, а так же другие обязательные платежи.</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6.4 Обеспечение исполнения договора (применяется для обеспечения исполнения обязательств по возврату аванса):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-подрядчик обязуется предоставить в срок не позднее 15 (пятнадцати) дней </w:t>
      </w:r>
      <w:proofErr w:type="gramStart"/>
      <w:r w:rsidRPr="00B95307">
        <w:rPr>
          <w:rFonts w:ascii="Times New Roman" w:eastAsia="Times New Roman" w:hAnsi="Times New Roman" w:cs="Times New Roman"/>
          <w:lang w:eastAsia="ru-RU"/>
        </w:rPr>
        <w:t>с даты заключения</w:t>
      </w:r>
      <w:proofErr w:type="gramEnd"/>
      <w:r w:rsidRPr="00B95307">
        <w:rPr>
          <w:rFonts w:ascii="Times New Roman" w:eastAsia="Times New Roman" w:hAnsi="Times New Roman" w:cs="Times New Roman"/>
          <w:lang w:eastAsia="ru-RU"/>
        </w:rPr>
        <w:t xml:space="preserve"> Договора обеспечение возврата аванса  по Договору в форме:</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 безотзывной банковской гарантии (далее – банковская гарантия), выданной банком; </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денежных средств путем их перечисления Заказчику (обеспечительный платеж).</w:t>
      </w:r>
    </w:p>
    <w:p w:rsidR="00DC3041" w:rsidRPr="00B95307" w:rsidRDefault="00DC3041" w:rsidP="00DC3041">
      <w:pPr>
        <w:spacing w:after="0" w:line="240" w:lineRule="auto"/>
        <w:rPr>
          <w:rFonts w:ascii="Times New Roman" w:eastAsia="Times New Roman" w:hAnsi="Times New Roman" w:cs="Times New Roman"/>
          <w:lang w:eastAsia="ru-RU"/>
        </w:rPr>
      </w:pPr>
      <w:r w:rsidRPr="00B95307">
        <w:rPr>
          <w:rFonts w:ascii="Times New Roman" w:eastAsia="Times New Roman" w:hAnsi="Times New Roman" w:cs="Times New Roman"/>
          <w:lang w:eastAsia="ru-RU"/>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E5240C" w:rsidRPr="00585943" w:rsidRDefault="00DC3041" w:rsidP="00DC3041">
      <w:pPr>
        <w:spacing w:after="0" w:line="240" w:lineRule="auto"/>
        <w:jc w:val="both"/>
        <w:rPr>
          <w:rFonts w:ascii="Times New Roman" w:hAnsi="Times New Roman" w:cs="Times New Roman"/>
          <w:lang w:eastAsia="ar-SA"/>
        </w:rPr>
      </w:pPr>
      <w:r w:rsidRPr="00B95307">
        <w:rPr>
          <w:rFonts w:ascii="Times New Roman" w:eastAsia="Times New Roman" w:hAnsi="Times New Roman" w:cs="Times New Roman"/>
          <w:lang w:eastAsia="ru-RU"/>
        </w:rPr>
        <w:t xml:space="preserve">   Заказчик вправе не устанавливать в договоре требование обеспечения исполнения обязательств, без объяснения причин.</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DC3041" w:rsidRDefault="00DC304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DC3041" w:rsidRDefault="00DC304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CC" w:rsidRDefault="002847CC" w:rsidP="00A85798">
      <w:pPr>
        <w:spacing w:after="0" w:line="240" w:lineRule="auto"/>
      </w:pPr>
      <w:r>
        <w:separator/>
      </w:r>
    </w:p>
  </w:endnote>
  <w:endnote w:type="continuationSeparator" w:id="0">
    <w:p w:rsidR="002847CC" w:rsidRDefault="002847C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C" w:rsidRDefault="002847CC">
    <w:pPr>
      <w:pStyle w:val="af9"/>
      <w:jc w:val="right"/>
    </w:pPr>
    <w:r>
      <w:fldChar w:fldCharType="begin"/>
    </w:r>
    <w:r>
      <w:instrText xml:space="preserve"> PAGE   \* MERGEFORMAT </w:instrText>
    </w:r>
    <w:r>
      <w:fldChar w:fldCharType="separate"/>
    </w:r>
    <w:r w:rsidR="001C536A">
      <w:rPr>
        <w:noProof/>
      </w:rPr>
      <w:t>4</w:t>
    </w:r>
    <w:r>
      <w:rPr>
        <w:noProof/>
      </w:rPr>
      <w:fldChar w:fldCharType="end"/>
    </w:r>
  </w:p>
  <w:p w:rsidR="002847CC" w:rsidRDefault="002847C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CC" w:rsidRDefault="002847CC" w:rsidP="00A85798">
      <w:pPr>
        <w:spacing w:after="0" w:line="240" w:lineRule="auto"/>
      </w:pPr>
      <w:r>
        <w:separator/>
      </w:r>
    </w:p>
  </w:footnote>
  <w:footnote w:type="continuationSeparator" w:id="0">
    <w:p w:rsidR="002847CC" w:rsidRDefault="002847CC" w:rsidP="00A85798">
      <w:pPr>
        <w:spacing w:after="0" w:line="240" w:lineRule="auto"/>
      </w:pPr>
      <w:r>
        <w:continuationSeparator/>
      </w:r>
    </w:p>
  </w:footnote>
  <w:footnote w:id="1">
    <w:p w:rsidR="002847CC" w:rsidRPr="006A4B85" w:rsidRDefault="002847C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536A"/>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2AD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3041"/>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BCD5-F420-4D3C-A403-6404DCC9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41195</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17</cp:revision>
  <cp:lastPrinted>2020-05-25T10:57:00Z</cp:lastPrinted>
  <dcterms:created xsi:type="dcterms:W3CDTF">2022-02-04T06:47:00Z</dcterms:created>
  <dcterms:modified xsi:type="dcterms:W3CDTF">2022-08-25T06:14:00Z</dcterms:modified>
</cp:coreProperties>
</file>