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55988" w:rsidRDefault="00F55988" w:rsidP="00132C09">
            <w:pPr>
              <w:jc w:val="center"/>
              <w:rPr>
                <w:rFonts w:ascii="Times New Roman" w:hAnsi="Times New Roman" w:cs="Times New Roman"/>
                <w:b/>
                <w:sz w:val="24"/>
                <w:szCs w:val="24"/>
              </w:rPr>
            </w:pPr>
            <w:r w:rsidRPr="00F55988">
              <w:rPr>
                <w:rFonts w:ascii="Times New Roman" w:hAnsi="Times New Roman" w:cs="Times New Roman"/>
                <w:b/>
                <w:sz w:val="24"/>
                <w:szCs w:val="24"/>
              </w:rPr>
              <w:t xml:space="preserve">ДОКУМЕНТАЦИЯ О ПРОВЕДЕНИИ ЗАПРОСА КОММЕРЧЕСКИХ ПРЕДЛОЖЕНИЙ   </w:t>
            </w:r>
            <w:r w:rsidR="00132C09" w:rsidRPr="009E5AD2">
              <w:rPr>
                <w:rFonts w:ascii="Times New Roman" w:eastAsia="Calibri" w:hAnsi="Times New Roman" w:cs="Calibri"/>
                <w:b/>
                <w:lang w:eastAsia="ar-SA"/>
              </w:rPr>
              <w:t xml:space="preserve"> </w:t>
            </w:r>
            <w:r w:rsidR="00132C09" w:rsidRPr="00132C09">
              <w:rPr>
                <w:rFonts w:ascii="Times New Roman" w:eastAsia="Calibri" w:hAnsi="Times New Roman" w:cs="Calibri"/>
                <w:b/>
                <w:sz w:val="24"/>
                <w:lang w:eastAsia="ar-SA"/>
              </w:rPr>
              <w:t>ПРИОБРЕТЕНИЕ ЭЛЕКТРОНАГРЕВАТЕЛЬНОГО ОБОРУДОВАНИЯ ДЛЯ  ЭЛЕКТРОСНАБЖЕНИЯ ЗАКАЗ ЗАВ.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132C09" w:rsidP="00132C0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132C09">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32C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132C09">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132C09">
                <w:rPr>
                  <w:rFonts w:ascii="Times New Roman" w:hAnsi="Times New Roman" w:cs="Times New Roman"/>
                  <w:sz w:val="24"/>
                  <w:szCs w:val="24"/>
                </w:rPr>
                <w:t xml:space="preserve">Петрова Татьяна </w:t>
              </w:r>
            </w:hyperlink>
            <w:r w:rsidR="00132C09">
              <w:rPr>
                <w:rFonts w:ascii="Times New Roman" w:hAnsi="Times New Roman" w:cs="Times New Roman"/>
                <w:sz w:val="24"/>
                <w:szCs w:val="24"/>
              </w:rPr>
              <w:t>Владимировна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132C09" w:rsidRDefault="00132C09" w:rsidP="00F55988">
            <w:pPr>
              <w:jc w:val="center"/>
              <w:rPr>
                <w:rFonts w:ascii="Times New Roman" w:hAnsi="Times New Roman" w:cs="Times New Roman"/>
                <w:sz w:val="24"/>
                <w:szCs w:val="24"/>
              </w:rPr>
            </w:pPr>
            <w:r>
              <w:rPr>
                <w:rFonts w:ascii="Times New Roman" w:eastAsia="Calibri" w:hAnsi="Times New Roman" w:cs="Calibri"/>
                <w:sz w:val="24"/>
                <w:szCs w:val="24"/>
                <w:lang w:eastAsia="ar-SA"/>
              </w:rPr>
              <w:t>П</w:t>
            </w:r>
            <w:r w:rsidRPr="00132C09">
              <w:rPr>
                <w:rFonts w:ascii="Times New Roman" w:eastAsia="Calibri" w:hAnsi="Times New Roman" w:cs="Calibri"/>
                <w:sz w:val="24"/>
                <w:szCs w:val="24"/>
                <w:lang w:eastAsia="ar-SA"/>
              </w:rPr>
              <w:t>риобретение электронагревательного оборудования для  электроснабжения заказ зав. №501</w:t>
            </w:r>
            <w:r w:rsidR="00F55988" w:rsidRPr="00132C09">
              <w:rPr>
                <w:rFonts w:ascii="Times New Roman" w:hAnsi="Times New Roman" w:cs="Times New Roman"/>
                <w:sz w:val="24"/>
                <w:szCs w:val="24"/>
              </w:rPr>
              <w:t xml:space="preserve">, </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32C09" w:rsidRDefault="00A606A3" w:rsidP="007D4799">
            <w:pPr>
              <w:jc w:val="both"/>
              <w:rPr>
                <w:rFonts w:ascii="Times New Roman" w:hAnsi="Times New Roman" w:cs="Times New Roman"/>
                <w:b/>
                <w:sz w:val="24"/>
                <w:szCs w:val="24"/>
              </w:rPr>
            </w:pPr>
            <w:r w:rsidRPr="00132C09">
              <w:rPr>
                <w:rFonts w:ascii="Times New Roman" w:eastAsia="Courier New" w:hAnsi="Times New Roman" w:cs="Times New Roman"/>
                <w:b/>
                <w:spacing w:val="-4"/>
                <w:sz w:val="24"/>
                <w:szCs w:val="24"/>
              </w:rPr>
              <w:t>6.</w:t>
            </w:r>
            <w:r w:rsidRPr="00132C09">
              <w:rPr>
                <w:rFonts w:ascii="Times New Roman" w:eastAsia="Courier New" w:hAnsi="Times New Roman" w:cs="Times New Roman"/>
                <w:spacing w:val="-4"/>
                <w:sz w:val="24"/>
                <w:szCs w:val="24"/>
              </w:rPr>
              <w:t xml:space="preserve"> </w:t>
            </w:r>
            <w:r w:rsidRPr="00132C09">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132C09" w:rsidRDefault="00132C09" w:rsidP="00F55988">
            <w:pPr>
              <w:contextualSpacing/>
              <w:jc w:val="both"/>
              <w:rPr>
                <w:rFonts w:ascii="Times New Roman" w:hAnsi="Times New Roman" w:cs="Times New Roman"/>
                <w:sz w:val="24"/>
                <w:szCs w:val="24"/>
              </w:rPr>
            </w:pPr>
            <w:r w:rsidRPr="00132C09">
              <w:rPr>
                <w:rFonts w:ascii="Times New Roman" w:hAnsi="Times New Roman" w:cs="Times New Roman"/>
                <w:sz w:val="24"/>
                <w:szCs w:val="24"/>
              </w:rPr>
              <w:t>В течение 45 (сорок пять) рабочих дней с момента оплаты авансового платежа в размере 80%.</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F55988" w:rsidP="00132C09">
            <w:pPr>
              <w:pStyle w:val="a5"/>
              <w:ind w:left="0" w:firstLine="567"/>
              <w:jc w:val="center"/>
            </w:pPr>
            <w:r w:rsidRPr="00132C09">
              <w:rPr>
                <w:rFonts w:ascii="Times New Roman" w:hAnsi="Times New Roman" w:cs="Times New Roman"/>
                <w:sz w:val="24"/>
              </w:rPr>
              <w:t xml:space="preserve">Товар поставляется </w:t>
            </w:r>
            <w:r w:rsidR="00132C09" w:rsidRPr="00132C09">
              <w:rPr>
                <w:rFonts w:ascii="Times New Roman" w:hAnsi="Times New Roman" w:cs="Times New Roman"/>
                <w:sz w:val="24"/>
              </w:rPr>
              <w:t>за счет Покупателя.</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132C09"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указано.</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132C09" w:rsidP="005B262D">
            <w:pPr>
              <w:jc w:val="center"/>
              <w:rPr>
                <w:rFonts w:ascii="Times New Roman" w:hAnsi="Times New Roman" w:cs="Times New Roman"/>
                <w:b/>
                <w:sz w:val="24"/>
                <w:szCs w:val="24"/>
              </w:rPr>
            </w:pPr>
            <w:r>
              <w:rPr>
                <w:rFonts w:ascii="Times New Roman" w:hAnsi="Times New Roman" w:cs="Times New Roman"/>
                <w:b/>
                <w:bCs/>
                <w:sz w:val="24"/>
                <w:szCs w:val="24"/>
              </w:rPr>
              <w:lastRenderedPageBreak/>
              <w:t>1 164 516,00 рублей</w:t>
            </w:r>
            <w:r w:rsidR="005B262D">
              <w:rPr>
                <w:rFonts w:ascii="Times New Roman" w:hAnsi="Times New Roman" w:cs="Times New Roman"/>
                <w:b/>
                <w:sz w:val="24"/>
                <w:szCs w:val="24"/>
              </w:rPr>
              <w:t xml:space="preserve"> </w:t>
            </w:r>
            <w:r w:rsidR="00C03B24">
              <w:rPr>
                <w:rFonts w:ascii="Times New Roman" w:hAnsi="Times New Roman" w:cs="Times New Roman"/>
                <w:b/>
                <w:sz w:val="24"/>
                <w:szCs w:val="24"/>
              </w:rPr>
              <w:t>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p>
          <w:p w:rsidR="00A606A3" w:rsidRPr="001B4074" w:rsidRDefault="00EC154B" w:rsidP="006F6E3F">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6F6E3F">
              <w:rPr>
                <w:rFonts w:ascii="Times New Roman" w:hAnsi="Times New Roman" w:cs="Times New Roman"/>
                <w:sz w:val="24"/>
                <w:szCs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32C09"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32C09"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F6E3F">
              <w:rPr>
                <w:rFonts w:ascii="Times New Roman" w:hAnsi="Times New Roman" w:cs="Times New Roman"/>
                <w:sz w:val="24"/>
                <w:szCs w:val="24"/>
              </w:rPr>
              <w:t>22</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F6E3F">
              <w:rPr>
                <w:rFonts w:ascii="Times New Roman" w:hAnsi="Times New Roman" w:cs="Times New Roman"/>
                <w:sz w:val="24"/>
                <w:szCs w:val="24"/>
              </w:rPr>
              <w:t>11</w:t>
            </w:r>
            <w:r w:rsidR="003A5FDF">
              <w:rPr>
                <w:rFonts w:ascii="Times New Roman" w:hAnsi="Times New Roman" w:cs="Times New Roman"/>
                <w:sz w:val="24"/>
                <w:szCs w:val="24"/>
              </w:rPr>
              <w:t>:00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6F6E3F">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8136C3">
              <w:rPr>
                <w:rFonts w:ascii="Times New Roman" w:hAnsi="Times New Roman" w:cs="Times New Roman"/>
                <w:sz w:val="24"/>
                <w:szCs w:val="24"/>
              </w:rPr>
              <w:t>29</w:t>
            </w:r>
            <w:bookmarkStart w:id="0" w:name="_GoBack"/>
            <w:bookmarkEnd w:id="0"/>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F6E3F">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F6E3F"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03</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7A1B51" w:rsidRPr="001B4074" w:rsidRDefault="00A606A3" w:rsidP="006F6E3F">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C72889" w:rsidRPr="00C72889" w:rsidRDefault="00C72889" w:rsidP="00C72889">
            <w:pPr>
              <w:jc w:val="both"/>
              <w:rPr>
                <w:rFonts w:ascii="Times New Roman" w:hAnsi="Times New Roman" w:cs="Times New Roman"/>
                <w:sz w:val="24"/>
                <w:szCs w:val="24"/>
              </w:rPr>
            </w:pPr>
            <w:r>
              <w:rPr>
                <w:rFonts w:ascii="Times New Roman" w:hAnsi="Times New Roman" w:cs="Times New Roman"/>
              </w:rPr>
              <w:t>А</w:t>
            </w:r>
            <w:r w:rsidRPr="00C72889">
              <w:rPr>
                <w:rFonts w:ascii="Times New Roman" w:hAnsi="Times New Roman" w:cs="Times New Roman"/>
                <w:sz w:val="24"/>
                <w:szCs w:val="24"/>
              </w:rPr>
              <w:t xml:space="preserve">вансовый платёж в размере 80% производится в течение 10 рабочих  дней после подписания </w:t>
            </w:r>
          </w:p>
          <w:p w:rsidR="00C72889" w:rsidRPr="00C72889" w:rsidRDefault="00C72889" w:rsidP="00C72889">
            <w:pPr>
              <w:jc w:val="both"/>
              <w:rPr>
                <w:rFonts w:ascii="Times New Roman" w:hAnsi="Times New Roman" w:cs="Times New Roman"/>
                <w:sz w:val="24"/>
                <w:szCs w:val="24"/>
              </w:rPr>
            </w:pPr>
            <w:r w:rsidRPr="00C72889">
              <w:rPr>
                <w:rFonts w:ascii="Times New Roman" w:hAnsi="Times New Roman" w:cs="Times New Roman"/>
                <w:sz w:val="24"/>
                <w:szCs w:val="24"/>
              </w:rPr>
              <w:t xml:space="preserve">договора, соответствующей спецификации, получения от Поставщика счета со ссылкой </w:t>
            </w:r>
            <w:proofErr w:type="gramStart"/>
            <w:r w:rsidRPr="00C72889">
              <w:rPr>
                <w:rFonts w:ascii="Times New Roman" w:hAnsi="Times New Roman" w:cs="Times New Roman"/>
                <w:sz w:val="24"/>
                <w:szCs w:val="24"/>
              </w:rPr>
              <w:t>на</w:t>
            </w:r>
            <w:proofErr w:type="gramEnd"/>
            <w:r w:rsidRPr="00C72889">
              <w:rPr>
                <w:rFonts w:ascii="Times New Roman" w:hAnsi="Times New Roman" w:cs="Times New Roman"/>
                <w:sz w:val="24"/>
                <w:szCs w:val="24"/>
              </w:rPr>
              <w:t xml:space="preserve"> </w:t>
            </w:r>
          </w:p>
          <w:p w:rsidR="00C72889" w:rsidRPr="00C72889" w:rsidRDefault="00C72889" w:rsidP="00C72889">
            <w:pPr>
              <w:jc w:val="both"/>
              <w:rPr>
                <w:rFonts w:ascii="Times New Roman" w:hAnsi="Times New Roman" w:cs="Times New Roman"/>
                <w:sz w:val="24"/>
                <w:szCs w:val="24"/>
              </w:rPr>
            </w:pPr>
            <w:r w:rsidRPr="00C72889">
              <w:rPr>
                <w:rFonts w:ascii="Times New Roman" w:hAnsi="Times New Roman" w:cs="Times New Roman"/>
                <w:sz w:val="24"/>
                <w:szCs w:val="24"/>
              </w:rPr>
              <w:t xml:space="preserve">номер и дату договора. При заключении договора с банковской гарантией, оплата аванса </w:t>
            </w:r>
          </w:p>
          <w:p w:rsidR="00C72889" w:rsidRPr="00C72889" w:rsidRDefault="00C72889" w:rsidP="00C72889">
            <w:pPr>
              <w:jc w:val="both"/>
              <w:rPr>
                <w:rFonts w:ascii="Times New Roman" w:hAnsi="Times New Roman" w:cs="Times New Roman"/>
                <w:sz w:val="24"/>
                <w:szCs w:val="24"/>
              </w:rPr>
            </w:pPr>
            <w:r w:rsidRPr="00C72889">
              <w:rPr>
                <w:rFonts w:ascii="Times New Roman" w:hAnsi="Times New Roman" w:cs="Times New Roman"/>
                <w:sz w:val="24"/>
                <w:szCs w:val="24"/>
              </w:rPr>
              <w:t>производится только после предоставления указанной гарантии.</w:t>
            </w:r>
          </w:p>
          <w:p w:rsidR="00C72889" w:rsidRPr="00C72889" w:rsidRDefault="00C72889" w:rsidP="00C72889">
            <w:pPr>
              <w:jc w:val="both"/>
              <w:rPr>
                <w:rFonts w:ascii="Times New Roman" w:hAnsi="Times New Roman" w:cs="Times New Roman"/>
                <w:sz w:val="24"/>
                <w:szCs w:val="24"/>
              </w:rPr>
            </w:pPr>
            <w:r>
              <w:rPr>
                <w:rFonts w:ascii="Times New Roman" w:hAnsi="Times New Roman" w:cs="Times New Roman"/>
                <w:sz w:val="24"/>
                <w:szCs w:val="24"/>
              </w:rPr>
              <w:t>О</w:t>
            </w:r>
            <w:r w:rsidRPr="00C72889">
              <w:rPr>
                <w:rFonts w:ascii="Times New Roman" w:hAnsi="Times New Roman" w:cs="Times New Roman"/>
                <w:sz w:val="24"/>
                <w:szCs w:val="24"/>
              </w:rPr>
              <w:t>кончательный расчет производится в течение 10 рабочих дней с момента приемки товара  на складе Покупателя.</w:t>
            </w:r>
          </w:p>
          <w:p w:rsidR="00C72889" w:rsidRPr="00C72889" w:rsidRDefault="00C72889" w:rsidP="00C72889">
            <w:pPr>
              <w:autoSpaceDE w:val="0"/>
              <w:contextualSpacing/>
              <w:jc w:val="both"/>
              <w:rPr>
                <w:rFonts w:ascii="Times New Roman" w:eastAsia="DejaVu Sans" w:hAnsi="Times New Roman" w:cs="Times New Roman"/>
                <w:sz w:val="24"/>
                <w:szCs w:val="24"/>
              </w:rPr>
            </w:pPr>
            <w:proofErr w:type="gramStart"/>
            <w:r w:rsidRPr="00C72889">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C72889">
              <w:rPr>
                <w:rFonts w:ascii="Times New Roman" w:hAnsi="Times New Roman" w:cs="Times New Roman"/>
                <w:sz w:val="24"/>
                <w:szCs w:val="24"/>
              </w:rPr>
              <w:t xml:space="preserve">произведен на территории РФ в соответствии с </w:t>
            </w:r>
            <w:r w:rsidRPr="00C72889">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C72889">
                <w:rPr>
                  <w:rFonts w:ascii="Times New Roman" w:hAnsi="Times New Roman" w:cs="Times New Roman"/>
                  <w:color w:val="000000" w:themeColor="text1"/>
                  <w:sz w:val="24"/>
                  <w:szCs w:val="24"/>
                </w:rPr>
                <w:t>Постановления</w:t>
              </w:r>
            </w:hyperlink>
            <w:r w:rsidRPr="00C72889">
              <w:rPr>
                <w:rFonts w:ascii="Times New Roman" w:hAnsi="Times New Roman" w:cs="Times New Roman"/>
                <w:color w:val="000000" w:themeColor="text1"/>
                <w:sz w:val="24"/>
                <w:szCs w:val="24"/>
              </w:rPr>
              <w:t xml:space="preserve"> Правительства РФ от 19.05.2021 N 758</w:t>
            </w:r>
            <w:r w:rsidRPr="00C72889">
              <w:rPr>
                <w:rFonts w:ascii="Times New Roman" w:eastAsia="Times New Roman" w:hAnsi="Times New Roman" w:cs="Times New Roman"/>
                <w:color w:val="000000" w:themeColor="text1"/>
                <w:sz w:val="24"/>
                <w:szCs w:val="24"/>
              </w:rPr>
              <w:t>.</w:t>
            </w:r>
            <w:proofErr w:type="gramEnd"/>
          </w:p>
          <w:p w:rsidR="00A606A3" w:rsidRPr="001B4074" w:rsidRDefault="00A606A3" w:rsidP="002C7E8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w:t>
            </w:r>
            <w:r w:rsidRPr="001B4074">
              <w:rPr>
                <w:rFonts w:ascii="Times New Roman" w:hAnsi="Times New Roman" w:cs="Times New Roman"/>
                <w:b/>
                <w:bCs/>
                <w:sz w:val="24"/>
                <w:szCs w:val="24"/>
              </w:rPr>
              <w:lastRenderedPageBreak/>
              <w:t>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содержится ценовое предложение о цене договора, превышающее </w:t>
            </w:r>
            <w:r w:rsidRPr="001B4074">
              <w:rPr>
                <w:rFonts w:ascii="Times New Roman" w:hAnsi="Times New Roman" w:cs="Times New Roman"/>
                <w:sz w:val="24"/>
                <w:szCs w:val="24"/>
              </w:rPr>
              <w:lastRenderedPageBreak/>
              <w:t>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C72889" w:rsidRDefault="00C72889" w:rsidP="00994A09">
      <w:pPr>
        <w:tabs>
          <w:tab w:val="left" w:pos="231"/>
        </w:tabs>
        <w:spacing w:line="190" w:lineRule="exact"/>
        <w:ind w:left="-142" w:right="142" w:firstLine="426"/>
        <w:jc w:val="right"/>
        <w:rPr>
          <w:rFonts w:ascii="Times New Roman" w:hAnsi="Times New Roman" w:cs="Times New Roman"/>
          <w:sz w:val="24"/>
          <w:szCs w:val="24"/>
        </w:rPr>
      </w:pPr>
    </w:p>
    <w:p w:rsidR="00C72889" w:rsidRDefault="00C72889" w:rsidP="00994A09">
      <w:pPr>
        <w:tabs>
          <w:tab w:val="left" w:pos="231"/>
        </w:tabs>
        <w:spacing w:line="190" w:lineRule="exact"/>
        <w:ind w:left="-142" w:right="142" w:firstLine="426"/>
        <w:jc w:val="right"/>
        <w:rPr>
          <w:rFonts w:ascii="Times New Roman" w:hAnsi="Times New Roman" w:cs="Times New Roman"/>
          <w:sz w:val="24"/>
          <w:szCs w:val="24"/>
        </w:rPr>
      </w:pPr>
    </w:p>
    <w:p w:rsidR="00C72889" w:rsidRDefault="00C72889" w:rsidP="00994A09">
      <w:pPr>
        <w:tabs>
          <w:tab w:val="left" w:pos="231"/>
        </w:tabs>
        <w:spacing w:line="190" w:lineRule="exact"/>
        <w:ind w:left="-142" w:right="142" w:firstLine="426"/>
        <w:jc w:val="right"/>
        <w:rPr>
          <w:rFonts w:ascii="Times New Roman" w:hAnsi="Times New Roman" w:cs="Times New Roman"/>
          <w:sz w:val="24"/>
          <w:szCs w:val="24"/>
        </w:rPr>
      </w:pPr>
    </w:p>
    <w:p w:rsidR="00C72889" w:rsidRDefault="00C72889" w:rsidP="00994A09">
      <w:pPr>
        <w:tabs>
          <w:tab w:val="left" w:pos="231"/>
        </w:tabs>
        <w:spacing w:line="190" w:lineRule="exact"/>
        <w:ind w:left="-142" w:right="142" w:firstLine="426"/>
        <w:jc w:val="right"/>
        <w:rPr>
          <w:rFonts w:ascii="Times New Roman" w:hAnsi="Times New Roman" w:cs="Times New Roman"/>
          <w:sz w:val="24"/>
          <w:szCs w:val="24"/>
        </w:rPr>
      </w:pPr>
    </w:p>
    <w:p w:rsidR="00C72889" w:rsidRDefault="00C72889"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D87FC3" w:rsidRDefault="00D87FC3"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C72889" w:rsidRPr="0007064E" w:rsidRDefault="00C72889" w:rsidP="00C72889">
      <w:pPr>
        <w:jc w:val="center"/>
        <w:rPr>
          <w:rFonts w:ascii="Times New Roman" w:hAnsi="Times New Roman" w:cs="Times New Roman"/>
          <w:b/>
          <w:sz w:val="24"/>
          <w:szCs w:val="24"/>
        </w:rPr>
      </w:pPr>
      <w:r w:rsidRPr="0007064E">
        <w:rPr>
          <w:rFonts w:ascii="Times New Roman" w:hAnsi="Times New Roman" w:cs="Times New Roman"/>
          <w:b/>
          <w:sz w:val="24"/>
          <w:szCs w:val="24"/>
        </w:rPr>
        <w:t>Техническое задание</w:t>
      </w:r>
    </w:p>
    <w:p w:rsidR="00C72889" w:rsidRPr="0007064E" w:rsidRDefault="00C72889" w:rsidP="00C72889">
      <w:pPr>
        <w:suppressAutoHyphens/>
        <w:jc w:val="center"/>
        <w:rPr>
          <w:rFonts w:ascii="Times New Roman" w:eastAsia="Calibri" w:hAnsi="Times New Roman" w:cs="Calibri"/>
          <w:b/>
          <w:sz w:val="24"/>
          <w:szCs w:val="24"/>
          <w:lang w:eastAsia="ar-SA"/>
        </w:rPr>
      </w:pPr>
      <w:r w:rsidRPr="0007064E">
        <w:rPr>
          <w:rFonts w:ascii="Times New Roman" w:eastAsia="Calibri" w:hAnsi="Times New Roman" w:cs="Calibri"/>
          <w:b/>
          <w:sz w:val="24"/>
          <w:szCs w:val="24"/>
          <w:lang w:eastAsia="ar-SA"/>
        </w:rPr>
        <w:t>Запрос ценового предложения на приобретение электронагревательного оборудования для  электроснабжения заказ зав. №501.</w:t>
      </w:r>
    </w:p>
    <w:tbl>
      <w:tblPr>
        <w:tblStyle w:val="a3"/>
        <w:tblW w:w="10206" w:type="dxa"/>
        <w:tblInd w:w="-34" w:type="dxa"/>
        <w:tblLayout w:type="fixed"/>
        <w:tblLook w:val="04A0" w:firstRow="1" w:lastRow="0" w:firstColumn="1" w:lastColumn="0" w:noHBand="0" w:noVBand="1"/>
      </w:tblPr>
      <w:tblGrid>
        <w:gridCol w:w="2268"/>
        <w:gridCol w:w="7938"/>
      </w:tblGrid>
      <w:tr w:rsidR="00C72889" w:rsidRPr="0007064E" w:rsidTr="00C72889">
        <w:trPr>
          <w:trHeight w:val="763"/>
        </w:trPr>
        <w:tc>
          <w:tcPr>
            <w:tcW w:w="226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1.1. Предмет настоящего технического задания. </w:t>
            </w:r>
          </w:p>
        </w:tc>
        <w:tc>
          <w:tcPr>
            <w:tcW w:w="7938" w:type="dxa"/>
          </w:tcPr>
          <w:p w:rsidR="00C72889" w:rsidRPr="0007064E" w:rsidRDefault="00C72889" w:rsidP="00C72889">
            <w:pPr>
              <w:contextualSpacing/>
              <w:jc w:val="both"/>
              <w:rPr>
                <w:rFonts w:ascii="Times New Roman" w:hAnsi="Times New Roman" w:cs="Times New Roman"/>
                <w:i/>
                <w:sz w:val="24"/>
                <w:szCs w:val="24"/>
              </w:rPr>
            </w:pPr>
            <w:r w:rsidRPr="0007064E">
              <w:rPr>
                <w:rFonts w:ascii="Times New Roman" w:hAnsi="Times New Roman" w:cs="Times New Roman"/>
                <w:color w:val="000000" w:themeColor="text1"/>
                <w:sz w:val="24"/>
                <w:szCs w:val="24"/>
              </w:rPr>
              <w:t xml:space="preserve">Приобретение </w:t>
            </w:r>
            <w:r w:rsidRPr="0007064E">
              <w:rPr>
                <w:rFonts w:ascii="Times New Roman" w:eastAsia="Calibri" w:hAnsi="Times New Roman" w:cs="Calibri"/>
                <w:sz w:val="24"/>
                <w:szCs w:val="24"/>
                <w:lang w:eastAsia="ar-SA"/>
              </w:rPr>
              <w:t>электронагревательного оборудования</w:t>
            </w:r>
            <w:r w:rsidRPr="0007064E">
              <w:rPr>
                <w:rFonts w:ascii="Times New Roman" w:hAnsi="Times New Roman" w:cs="Times New Roman"/>
                <w:color w:val="000000" w:themeColor="text1"/>
                <w:sz w:val="24"/>
                <w:szCs w:val="24"/>
              </w:rPr>
              <w:t>.</w:t>
            </w:r>
          </w:p>
        </w:tc>
      </w:tr>
      <w:tr w:rsidR="00C72889" w:rsidRPr="0007064E" w:rsidTr="00C72889">
        <w:tc>
          <w:tcPr>
            <w:tcW w:w="226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1.2. Основание для проведения закупки.</w:t>
            </w:r>
          </w:p>
        </w:tc>
        <w:tc>
          <w:tcPr>
            <w:tcW w:w="793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w:t>
            </w:r>
          </w:p>
          <w:p w:rsidR="00C72889" w:rsidRPr="0007064E" w:rsidRDefault="00C72889" w:rsidP="007C6D27">
            <w:pPr>
              <w:rPr>
                <w:rFonts w:ascii="Times New Roman" w:hAnsi="Times New Roman" w:cs="Times New Roman"/>
                <w:i/>
                <w:sz w:val="24"/>
                <w:szCs w:val="24"/>
              </w:rPr>
            </w:pPr>
          </w:p>
        </w:tc>
      </w:tr>
      <w:tr w:rsidR="00C72889" w:rsidRPr="0007064E" w:rsidTr="00C72889">
        <w:tc>
          <w:tcPr>
            <w:tcW w:w="226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1.3. Порядок поставки Товара:</w:t>
            </w:r>
          </w:p>
        </w:tc>
        <w:tc>
          <w:tcPr>
            <w:tcW w:w="793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Товар поставляется за счет Покупателя </w:t>
            </w:r>
          </w:p>
        </w:tc>
      </w:tr>
      <w:tr w:rsidR="00C72889" w:rsidRPr="0007064E" w:rsidTr="00C72889">
        <w:tc>
          <w:tcPr>
            <w:tcW w:w="2268" w:type="dxa"/>
          </w:tcPr>
          <w:p w:rsidR="00C72889" w:rsidRPr="0007064E" w:rsidRDefault="00C72889" w:rsidP="007C6D27">
            <w:pPr>
              <w:tabs>
                <w:tab w:val="left" w:pos="343"/>
                <w:tab w:val="left" w:pos="549"/>
              </w:tabs>
              <w:contextualSpacing/>
              <w:jc w:val="both"/>
              <w:rPr>
                <w:rFonts w:ascii="Times New Roman" w:hAnsi="Times New Roman" w:cs="Times New Roman"/>
                <w:sz w:val="24"/>
                <w:szCs w:val="24"/>
              </w:rPr>
            </w:pPr>
            <w:r w:rsidRPr="0007064E">
              <w:rPr>
                <w:rFonts w:ascii="Times New Roman" w:hAnsi="Times New Roman" w:cs="Times New Roman"/>
                <w:sz w:val="24"/>
                <w:szCs w:val="24"/>
              </w:rPr>
              <w:t>1.4.Срок поставки товара.</w:t>
            </w:r>
          </w:p>
        </w:tc>
        <w:tc>
          <w:tcPr>
            <w:tcW w:w="793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В течение 45 (сорок пять) рабочих дней с момента оплаты авансового платежа в размере 80%.</w:t>
            </w:r>
          </w:p>
        </w:tc>
      </w:tr>
      <w:tr w:rsidR="00C72889" w:rsidRPr="0007064E" w:rsidTr="00C72889">
        <w:tc>
          <w:tcPr>
            <w:tcW w:w="2268" w:type="dxa"/>
          </w:tcPr>
          <w:p w:rsidR="00C72889" w:rsidRPr="0007064E" w:rsidRDefault="00C72889" w:rsidP="007C6D27">
            <w:pPr>
              <w:tabs>
                <w:tab w:val="left" w:pos="343"/>
                <w:tab w:val="left" w:pos="549"/>
              </w:tabs>
              <w:contextualSpacing/>
              <w:jc w:val="both"/>
              <w:rPr>
                <w:rFonts w:ascii="Times New Roman" w:hAnsi="Times New Roman" w:cs="Times New Roman"/>
                <w:sz w:val="24"/>
                <w:szCs w:val="24"/>
              </w:rPr>
            </w:pPr>
            <w:r w:rsidRPr="0007064E">
              <w:rPr>
                <w:rFonts w:ascii="Times New Roman" w:hAnsi="Times New Roman" w:cs="Times New Roman"/>
                <w:sz w:val="24"/>
                <w:szCs w:val="24"/>
              </w:rPr>
              <w:t>1.5. Требуемые документы при поставке товара</w:t>
            </w:r>
          </w:p>
        </w:tc>
        <w:tc>
          <w:tcPr>
            <w:tcW w:w="7938" w:type="dxa"/>
          </w:tcPr>
          <w:p w:rsidR="00C72889" w:rsidRPr="0007064E" w:rsidRDefault="00C72889" w:rsidP="007C6D27">
            <w:pPr>
              <w:contextualSpacing/>
              <w:jc w:val="both"/>
              <w:rPr>
                <w:rFonts w:ascii="Times New Roman" w:hAnsi="Times New Roman" w:cs="Times New Roman"/>
                <w:i/>
                <w:sz w:val="24"/>
                <w:szCs w:val="24"/>
              </w:rPr>
            </w:pPr>
            <w:r w:rsidRPr="0007064E">
              <w:rPr>
                <w:rFonts w:ascii="Times New Roman" w:hAnsi="Times New Roman" w:cs="Times New Roman"/>
                <w:sz w:val="24"/>
                <w:szCs w:val="24"/>
              </w:rPr>
              <w:t>Оригиналы товарных накладных, счетов-фактур (УПД).</w:t>
            </w:r>
          </w:p>
        </w:tc>
      </w:tr>
      <w:tr w:rsidR="00C72889" w:rsidRPr="0007064E" w:rsidTr="00C72889">
        <w:tc>
          <w:tcPr>
            <w:tcW w:w="2268" w:type="dxa"/>
          </w:tcPr>
          <w:p w:rsidR="00C72889" w:rsidRPr="0007064E" w:rsidRDefault="00C72889" w:rsidP="007C6D27">
            <w:pPr>
              <w:tabs>
                <w:tab w:val="left" w:pos="343"/>
                <w:tab w:val="left" w:pos="549"/>
              </w:tabs>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1.6. Необходимость предоставления образцов </w:t>
            </w:r>
          </w:p>
        </w:tc>
        <w:tc>
          <w:tcPr>
            <w:tcW w:w="7938" w:type="dxa"/>
          </w:tcPr>
          <w:p w:rsidR="00C72889" w:rsidRPr="0007064E" w:rsidRDefault="00C72889" w:rsidP="007C6D27">
            <w:pPr>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Не требуется </w:t>
            </w:r>
          </w:p>
        </w:tc>
      </w:tr>
    </w:tbl>
    <w:p w:rsidR="00C72889" w:rsidRPr="0007064E" w:rsidRDefault="00C72889" w:rsidP="00C72889">
      <w:pPr>
        <w:contextualSpacing/>
        <w:jc w:val="both"/>
        <w:rPr>
          <w:rFonts w:ascii="Times New Roman" w:hAnsi="Times New Roman" w:cs="Times New Roman"/>
          <w:sz w:val="24"/>
          <w:szCs w:val="24"/>
        </w:rPr>
      </w:pPr>
    </w:p>
    <w:p w:rsidR="00C72889" w:rsidRPr="0007064E" w:rsidRDefault="00C72889" w:rsidP="00C72889">
      <w:pPr>
        <w:contextualSpacing/>
        <w:jc w:val="both"/>
        <w:rPr>
          <w:rFonts w:ascii="Times New Roman" w:hAnsi="Times New Roman" w:cs="Times New Roman"/>
          <w:sz w:val="24"/>
          <w:szCs w:val="24"/>
        </w:rPr>
      </w:pPr>
      <w:r w:rsidRPr="0007064E">
        <w:rPr>
          <w:rFonts w:ascii="Times New Roman" w:hAnsi="Times New Roman" w:cs="Times New Roman"/>
          <w:sz w:val="24"/>
          <w:szCs w:val="24"/>
        </w:rPr>
        <w:t>1.7. Перечень необходимых материалов (Товара):</w:t>
      </w:r>
    </w:p>
    <w:p w:rsidR="00C72889" w:rsidRPr="0007064E" w:rsidRDefault="00C72889" w:rsidP="00C72889">
      <w:pPr>
        <w:contextualSpacing/>
        <w:jc w:val="both"/>
        <w:rPr>
          <w:rFonts w:ascii="Times New Roman" w:hAnsi="Times New Roman" w:cs="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351"/>
        <w:gridCol w:w="12"/>
        <w:gridCol w:w="1559"/>
      </w:tblGrid>
      <w:tr w:rsidR="00C72889" w:rsidRPr="0007064E" w:rsidTr="008136C3">
        <w:trPr>
          <w:trHeight w:val="583"/>
        </w:trPr>
        <w:tc>
          <w:tcPr>
            <w:tcW w:w="568"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p>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b/>
                <w:sz w:val="24"/>
                <w:szCs w:val="24"/>
                <w:lang w:eastAsia="ar-SA"/>
              </w:rPr>
              <w:t>№</w:t>
            </w:r>
          </w:p>
        </w:tc>
        <w:tc>
          <w:tcPr>
            <w:tcW w:w="8363" w:type="dxa"/>
            <w:gridSpan w:val="2"/>
            <w:shd w:val="clear" w:color="auto" w:fill="auto"/>
            <w:vAlign w:val="center"/>
          </w:tcPr>
          <w:p w:rsidR="00C72889" w:rsidRPr="0007064E" w:rsidRDefault="00C72889" w:rsidP="007C6D27">
            <w:pPr>
              <w:suppressAutoHyphens/>
              <w:ind w:left="167"/>
              <w:jc w:val="both"/>
              <w:rPr>
                <w:rFonts w:ascii="Times New Roman" w:eastAsia="Calibri" w:hAnsi="Times New Roman" w:cs="Calibri"/>
                <w:sz w:val="24"/>
                <w:szCs w:val="24"/>
                <w:lang w:eastAsia="ar-SA"/>
              </w:rPr>
            </w:pPr>
            <w:r w:rsidRPr="0007064E">
              <w:rPr>
                <w:rFonts w:ascii="Times New Roman" w:eastAsia="Calibri" w:hAnsi="Times New Roman" w:cs="Calibri"/>
                <w:b/>
                <w:sz w:val="24"/>
                <w:szCs w:val="24"/>
                <w:lang w:eastAsia="ar-SA"/>
              </w:rPr>
              <w:t xml:space="preserve">              Наименование материала</w:t>
            </w:r>
          </w:p>
        </w:tc>
        <w:tc>
          <w:tcPr>
            <w:tcW w:w="1559"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b/>
                <w:sz w:val="24"/>
                <w:szCs w:val="24"/>
                <w:lang w:eastAsia="ar-SA"/>
              </w:rPr>
              <w:t xml:space="preserve">   Кол-во          шт.</w:t>
            </w:r>
          </w:p>
        </w:tc>
      </w:tr>
      <w:tr w:rsidR="00C72889" w:rsidRPr="0007064E" w:rsidTr="008136C3">
        <w:trPr>
          <w:trHeight w:val="220"/>
        </w:trPr>
        <w:tc>
          <w:tcPr>
            <w:tcW w:w="568"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1.</w:t>
            </w:r>
          </w:p>
        </w:tc>
        <w:tc>
          <w:tcPr>
            <w:tcW w:w="8363"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Электрическая тепловая пушка</w:t>
            </w:r>
            <w:proofErr w:type="gramStart"/>
            <w:r w:rsidRPr="0007064E">
              <w:rPr>
                <w:rFonts w:ascii="Times New Roman" w:eastAsia="Calibri" w:hAnsi="Times New Roman" w:cs="Calibri"/>
                <w:sz w:val="24"/>
                <w:szCs w:val="24"/>
                <w:lang w:eastAsia="ar-SA"/>
              </w:rPr>
              <w:t xml:space="preserve"> :</w:t>
            </w:r>
            <w:proofErr w:type="gramEnd"/>
          </w:p>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Мощность- 30кВт, поток воздуха-3500м3/ч </w:t>
            </w:r>
          </w:p>
        </w:tc>
        <w:tc>
          <w:tcPr>
            <w:tcW w:w="1559"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w:t>
            </w:r>
          </w:p>
          <w:p w:rsidR="00C72889" w:rsidRPr="0007064E" w:rsidRDefault="00C72889" w:rsidP="007C6D27">
            <w:pPr>
              <w:suppressAutoHyphens/>
              <w:jc w:val="both"/>
              <w:rPr>
                <w:rFonts w:ascii="Times New Roman" w:eastAsia="Calibri" w:hAnsi="Times New Roman" w:cs="Calibri"/>
                <w:sz w:val="24"/>
                <w:szCs w:val="24"/>
                <w:lang w:val="en-US" w:eastAsia="ar-SA"/>
              </w:rPr>
            </w:pPr>
            <w:r w:rsidRPr="0007064E">
              <w:rPr>
                <w:rFonts w:ascii="Times New Roman" w:eastAsia="Calibri" w:hAnsi="Times New Roman" w:cs="Calibri"/>
                <w:sz w:val="24"/>
                <w:szCs w:val="24"/>
                <w:lang w:eastAsia="ar-SA"/>
              </w:rPr>
              <w:t xml:space="preserve">     </w:t>
            </w:r>
            <w:r w:rsidRPr="0007064E">
              <w:rPr>
                <w:rFonts w:ascii="Times New Roman" w:eastAsia="Calibri" w:hAnsi="Times New Roman" w:cs="Calibri"/>
                <w:sz w:val="24"/>
                <w:szCs w:val="24"/>
                <w:lang w:val="en-US" w:eastAsia="ar-SA"/>
              </w:rPr>
              <w:t>6</w:t>
            </w:r>
          </w:p>
        </w:tc>
      </w:tr>
      <w:tr w:rsidR="00C72889" w:rsidRPr="0007064E" w:rsidTr="008136C3">
        <w:trPr>
          <w:trHeight w:val="220"/>
        </w:trPr>
        <w:tc>
          <w:tcPr>
            <w:tcW w:w="568"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2.</w:t>
            </w:r>
          </w:p>
        </w:tc>
        <w:tc>
          <w:tcPr>
            <w:tcW w:w="8363"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Гибкий шланг </w:t>
            </w:r>
            <w:r w:rsidRPr="0007064E">
              <w:rPr>
                <w:rFonts w:ascii="Times New Roman" w:eastAsia="Calibri" w:hAnsi="Times New Roman" w:cs="Calibri"/>
                <w:sz w:val="24"/>
                <w:szCs w:val="24"/>
                <w:lang w:val="en-US" w:eastAsia="ar-SA"/>
              </w:rPr>
              <w:t>D</w:t>
            </w:r>
            <w:r w:rsidRPr="0007064E">
              <w:rPr>
                <w:rFonts w:ascii="Times New Roman" w:eastAsia="Calibri" w:hAnsi="Times New Roman" w:cs="Calibri"/>
                <w:sz w:val="24"/>
                <w:szCs w:val="24"/>
                <w:lang w:eastAsia="ar-SA"/>
              </w:rPr>
              <w:t>=407 мм,</w:t>
            </w:r>
            <w:r w:rsidRPr="0007064E">
              <w:rPr>
                <w:rFonts w:ascii="Times New Roman" w:eastAsia="Calibri" w:hAnsi="Times New Roman" w:cs="Calibri"/>
                <w:sz w:val="24"/>
                <w:szCs w:val="24"/>
                <w:lang w:val="en-US" w:eastAsia="ar-SA"/>
              </w:rPr>
              <w:t>L</w:t>
            </w:r>
            <w:r w:rsidRPr="0007064E">
              <w:rPr>
                <w:rFonts w:ascii="Times New Roman" w:eastAsia="Calibri" w:hAnsi="Times New Roman" w:cs="Calibri"/>
                <w:sz w:val="24"/>
                <w:szCs w:val="24"/>
                <w:lang w:eastAsia="ar-SA"/>
              </w:rPr>
              <w:t>=7.6 м  4031.401</w:t>
            </w:r>
          </w:p>
        </w:tc>
        <w:tc>
          <w:tcPr>
            <w:tcW w:w="1559"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6</w:t>
            </w:r>
          </w:p>
        </w:tc>
      </w:tr>
      <w:tr w:rsidR="00C72889" w:rsidRPr="0007064E" w:rsidTr="008136C3">
        <w:trPr>
          <w:trHeight w:val="220"/>
        </w:trPr>
        <w:tc>
          <w:tcPr>
            <w:tcW w:w="568"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3.</w:t>
            </w:r>
          </w:p>
        </w:tc>
        <w:tc>
          <w:tcPr>
            <w:tcW w:w="8363"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Комплект соединительных элементов 4210.180</w:t>
            </w:r>
          </w:p>
        </w:tc>
        <w:tc>
          <w:tcPr>
            <w:tcW w:w="1559"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6</w:t>
            </w:r>
          </w:p>
        </w:tc>
      </w:tr>
      <w:tr w:rsidR="00C72889" w:rsidRPr="0007064E" w:rsidTr="008136C3">
        <w:trPr>
          <w:trHeight w:val="220"/>
        </w:trPr>
        <w:tc>
          <w:tcPr>
            <w:tcW w:w="568"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4.</w:t>
            </w:r>
          </w:p>
        </w:tc>
        <w:tc>
          <w:tcPr>
            <w:tcW w:w="8363"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Шнур питания </w:t>
            </w:r>
            <w:r w:rsidRPr="0007064E">
              <w:rPr>
                <w:rFonts w:ascii="Times New Roman" w:eastAsia="Calibri" w:hAnsi="Times New Roman" w:cs="Calibri"/>
                <w:sz w:val="24"/>
                <w:szCs w:val="24"/>
                <w:lang w:val="en-US" w:eastAsia="ar-SA"/>
              </w:rPr>
              <w:t>L=</w:t>
            </w:r>
            <w:r w:rsidRPr="0007064E">
              <w:rPr>
                <w:rFonts w:ascii="Times New Roman" w:eastAsia="Calibri" w:hAnsi="Times New Roman" w:cs="Calibri"/>
                <w:sz w:val="24"/>
                <w:szCs w:val="24"/>
                <w:lang w:eastAsia="ar-SA"/>
              </w:rPr>
              <w:t>10м 4511.036</w:t>
            </w:r>
          </w:p>
        </w:tc>
        <w:tc>
          <w:tcPr>
            <w:tcW w:w="1559" w:type="dxa"/>
            <w:shd w:val="clear" w:color="auto" w:fill="auto"/>
            <w:vAlign w:val="center"/>
          </w:tcPr>
          <w:p w:rsidR="00C72889" w:rsidRPr="0007064E" w:rsidRDefault="00C72889" w:rsidP="007C6D27">
            <w:pPr>
              <w:suppressAutoHyphens/>
              <w:jc w:val="both"/>
              <w:rPr>
                <w:rFonts w:ascii="Times New Roman" w:eastAsia="Calibri" w:hAnsi="Times New Roman" w:cs="Calibri"/>
                <w:sz w:val="24"/>
                <w:szCs w:val="24"/>
                <w:lang w:eastAsia="ar-SA"/>
              </w:rPr>
            </w:pPr>
            <w:r w:rsidRPr="0007064E">
              <w:rPr>
                <w:rFonts w:ascii="Times New Roman" w:eastAsia="Calibri" w:hAnsi="Times New Roman" w:cs="Calibri"/>
                <w:sz w:val="24"/>
                <w:szCs w:val="24"/>
                <w:lang w:eastAsia="ar-SA"/>
              </w:rPr>
              <w:t xml:space="preserve">     6</w:t>
            </w:r>
          </w:p>
        </w:tc>
      </w:tr>
      <w:tr w:rsidR="00C72889" w:rsidRPr="0007064E" w:rsidTr="008136C3">
        <w:trPr>
          <w:trHeight w:val="289"/>
        </w:trPr>
        <w:tc>
          <w:tcPr>
            <w:tcW w:w="8919"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b/>
                <w:sz w:val="24"/>
                <w:szCs w:val="24"/>
                <w:lang w:eastAsia="ar-SA"/>
              </w:rPr>
            </w:pPr>
            <w:r w:rsidRPr="0007064E">
              <w:rPr>
                <w:rFonts w:ascii="Times New Roman" w:eastAsia="Calibri" w:hAnsi="Times New Roman" w:cs="Calibri"/>
                <w:b/>
                <w:sz w:val="24"/>
                <w:szCs w:val="24"/>
                <w:lang w:eastAsia="ar-SA"/>
              </w:rPr>
              <w:t xml:space="preserve">                                                                                           Стоимость с НДС  (НМЦД) руб.</w:t>
            </w:r>
          </w:p>
          <w:p w:rsidR="00C72889" w:rsidRPr="0007064E" w:rsidRDefault="00C72889" w:rsidP="007C6D27">
            <w:pPr>
              <w:suppressAutoHyphens/>
              <w:jc w:val="both"/>
              <w:rPr>
                <w:rFonts w:ascii="Times New Roman" w:eastAsia="Calibri" w:hAnsi="Times New Roman" w:cs="Calibri"/>
                <w:b/>
                <w:sz w:val="24"/>
                <w:szCs w:val="24"/>
                <w:lang w:eastAsia="ar-SA"/>
              </w:rPr>
            </w:pPr>
          </w:p>
        </w:tc>
        <w:tc>
          <w:tcPr>
            <w:tcW w:w="1571" w:type="dxa"/>
            <w:gridSpan w:val="2"/>
            <w:shd w:val="clear" w:color="auto" w:fill="auto"/>
            <w:vAlign w:val="center"/>
          </w:tcPr>
          <w:p w:rsidR="00C72889" w:rsidRPr="0007064E" w:rsidRDefault="00C72889" w:rsidP="007C6D27">
            <w:pPr>
              <w:suppressAutoHyphens/>
              <w:jc w:val="both"/>
              <w:rPr>
                <w:rFonts w:ascii="Times New Roman" w:eastAsia="Calibri" w:hAnsi="Times New Roman" w:cs="Calibri"/>
                <w:b/>
                <w:sz w:val="24"/>
                <w:szCs w:val="24"/>
                <w:lang w:eastAsia="ar-SA"/>
              </w:rPr>
            </w:pPr>
            <w:r w:rsidRPr="0007064E">
              <w:rPr>
                <w:rFonts w:ascii="Times New Roman" w:eastAsia="Calibri" w:hAnsi="Times New Roman" w:cs="Calibri"/>
                <w:b/>
                <w:sz w:val="24"/>
                <w:szCs w:val="24"/>
                <w:lang w:eastAsia="ar-SA"/>
              </w:rPr>
              <w:t xml:space="preserve">  1 164 516,00</w:t>
            </w:r>
          </w:p>
        </w:tc>
      </w:tr>
    </w:tbl>
    <w:p w:rsidR="00C72889" w:rsidRPr="0007064E" w:rsidRDefault="00C72889" w:rsidP="00C72889">
      <w:pPr>
        <w:contextualSpacing/>
        <w:jc w:val="both"/>
        <w:rPr>
          <w:rFonts w:ascii="Times New Roman" w:hAnsi="Times New Roman" w:cs="Times New Roman"/>
          <w:b/>
          <w:sz w:val="24"/>
          <w:szCs w:val="24"/>
        </w:rPr>
      </w:pPr>
    </w:p>
    <w:p w:rsidR="00C72889" w:rsidRPr="0007064E" w:rsidRDefault="00C72889" w:rsidP="00C72889">
      <w:pPr>
        <w:tabs>
          <w:tab w:val="left" w:pos="993"/>
        </w:tabs>
        <w:ind w:left="142" w:hanging="142"/>
        <w:jc w:val="both"/>
        <w:rPr>
          <w:rFonts w:ascii="Times New Roman" w:hAnsi="Times New Roman" w:cs="Times New Roman"/>
          <w:b/>
          <w:sz w:val="24"/>
          <w:szCs w:val="24"/>
        </w:rPr>
      </w:pPr>
      <w:r w:rsidRPr="0007064E">
        <w:rPr>
          <w:rFonts w:ascii="Times New Roman" w:hAnsi="Times New Roman" w:cs="Times New Roman"/>
          <w:b/>
          <w:sz w:val="24"/>
          <w:szCs w:val="24"/>
        </w:rPr>
        <w:t xml:space="preserve">2. Требования к качеству и техническим характеристикам товара: </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 национальные стандарты РФ;</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 правила по стандартизации, нормы и рекомендации в области стандартизации;</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 общероссийские классификаторы технико-экономической и социальной информации.</w:t>
      </w:r>
    </w:p>
    <w:p w:rsidR="00C72889" w:rsidRPr="0007064E" w:rsidRDefault="00C72889" w:rsidP="00C72889">
      <w:pPr>
        <w:ind w:left="142" w:hanging="142"/>
        <w:contextualSpacing/>
        <w:jc w:val="both"/>
        <w:rPr>
          <w:rFonts w:ascii="Times New Roman" w:hAnsi="Times New Roman" w:cs="Times New Roman"/>
          <w:sz w:val="24"/>
          <w:szCs w:val="24"/>
        </w:rPr>
      </w:pPr>
    </w:p>
    <w:p w:rsidR="00C72889" w:rsidRPr="0007064E" w:rsidRDefault="00C72889" w:rsidP="00C72889">
      <w:pPr>
        <w:ind w:left="142" w:hanging="142"/>
        <w:contextualSpacing/>
        <w:jc w:val="both"/>
        <w:rPr>
          <w:rFonts w:ascii="Times New Roman" w:hAnsi="Times New Roman" w:cs="Times New Roman"/>
          <w:b/>
          <w:sz w:val="24"/>
          <w:szCs w:val="24"/>
        </w:rPr>
      </w:pPr>
      <w:r w:rsidRPr="0007064E">
        <w:rPr>
          <w:rFonts w:ascii="Times New Roman" w:hAnsi="Times New Roman" w:cs="Times New Roman"/>
          <w:b/>
          <w:sz w:val="24"/>
          <w:szCs w:val="24"/>
        </w:rPr>
        <w:t>3. Гарантийные обязательства:</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 </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3.2. Гарантийный срок: 12 (двенадцать) месяцев.</w:t>
      </w:r>
    </w:p>
    <w:p w:rsidR="00C72889" w:rsidRPr="0007064E" w:rsidRDefault="00C72889" w:rsidP="00C72889">
      <w:pPr>
        <w:ind w:left="142" w:hanging="142"/>
        <w:contextualSpacing/>
        <w:jc w:val="both"/>
        <w:rPr>
          <w:rFonts w:ascii="Times New Roman" w:hAnsi="Times New Roman" w:cs="Times New Roman"/>
          <w:b/>
          <w:sz w:val="24"/>
          <w:szCs w:val="24"/>
        </w:rPr>
      </w:pPr>
    </w:p>
    <w:p w:rsidR="00C72889" w:rsidRPr="0007064E" w:rsidRDefault="00C72889" w:rsidP="00C72889">
      <w:pPr>
        <w:ind w:left="142" w:hanging="142"/>
        <w:contextualSpacing/>
        <w:jc w:val="both"/>
        <w:rPr>
          <w:rFonts w:ascii="Times New Roman" w:hAnsi="Times New Roman" w:cs="Times New Roman"/>
          <w:b/>
          <w:sz w:val="24"/>
          <w:szCs w:val="24"/>
        </w:rPr>
      </w:pPr>
      <w:r w:rsidRPr="0007064E">
        <w:rPr>
          <w:rFonts w:ascii="Times New Roman" w:hAnsi="Times New Roman" w:cs="Times New Roman"/>
          <w:b/>
          <w:sz w:val="24"/>
          <w:szCs w:val="24"/>
        </w:rPr>
        <w:t>4. Требования к Поставщику:</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4.3. Обладать необходимыми профессиональными знаниями, опытом и репутацией;</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4.4. Иметь ресурсные возможности (финансовые, материально-технические, трудовые).</w:t>
      </w:r>
    </w:p>
    <w:p w:rsidR="00C72889" w:rsidRPr="0007064E" w:rsidRDefault="00C72889" w:rsidP="00C72889">
      <w:pPr>
        <w:ind w:left="142" w:hanging="142"/>
        <w:contextualSpacing/>
        <w:jc w:val="both"/>
        <w:rPr>
          <w:rFonts w:ascii="Times New Roman" w:eastAsia="Times New Roman" w:hAnsi="Times New Roman" w:cs="Times New Roman"/>
          <w:sz w:val="24"/>
          <w:szCs w:val="24"/>
        </w:rPr>
      </w:pPr>
      <w:r w:rsidRPr="0007064E">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C72889" w:rsidRPr="0007064E" w:rsidRDefault="00C72889" w:rsidP="00C72889">
      <w:pPr>
        <w:ind w:left="142" w:hanging="142"/>
        <w:contextualSpacing/>
        <w:jc w:val="both"/>
        <w:rPr>
          <w:rFonts w:ascii="Times New Roman" w:eastAsia="Times New Roman" w:hAnsi="Times New Roman" w:cs="Times New Roman"/>
          <w:sz w:val="24"/>
          <w:szCs w:val="24"/>
        </w:rPr>
      </w:pPr>
      <w:r w:rsidRPr="0007064E">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C72889" w:rsidRPr="0007064E" w:rsidRDefault="00C72889" w:rsidP="00C72889">
      <w:pPr>
        <w:tabs>
          <w:tab w:val="left" w:pos="-284"/>
          <w:tab w:val="left" w:pos="426"/>
          <w:tab w:val="left" w:pos="960"/>
        </w:tabs>
        <w:ind w:left="142" w:hanging="142"/>
        <w:contextualSpacing/>
        <w:jc w:val="both"/>
        <w:rPr>
          <w:rFonts w:ascii="Times New Roman" w:eastAsia="Times New Roman" w:hAnsi="Times New Roman" w:cs="Times New Roman"/>
          <w:sz w:val="24"/>
          <w:szCs w:val="24"/>
        </w:rPr>
      </w:pPr>
      <w:r w:rsidRPr="0007064E">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eastAsia="Times New Roman" w:hAnsi="Times New Roman" w:cs="Times New Roman"/>
          <w:sz w:val="24"/>
          <w:szCs w:val="24"/>
        </w:rPr>
        <w:t>4.8. В составе исполнительного органа нет дисквалифицированных лиц.</w:t>
      </w:r>
    </w:p>
    <w:p w:rsidR="00C72889" w:rsidRPr="0007064E" w:rsidRDefault="00C72889" w:rsidP="00C72889">
      <w:pPr>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 xml:space="preserve">4.9. </w:t>
      </w:r>
      <w:proofErr w:type="gramStart"/>
      <w:r w:rsidRPr="0007064E">
        <w:rPr>
          <w:rFonts w:ascii="Times New Roman" w:hAnsi="Times New Roman" w:cs="Times New Roman"/>
          <w:sz w:val="24"/>
          <w:szCs w:val="24"/>
        </w:rPr>
        <w:t>Способен</w:t>
      </w:r>
      <w:proofErr w:type="gramEnd"/>
      <w:r w:rsidRPr="0007064E">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C72889" w:rsidRPr="0007064E" w:rsidRDefault="00C72889" w:rsidP="00C72889">
      <w:pPr>
        <w:tabs>
          <w:tab w:val="left" w:pos="993"/>
        </w:tabs>
        <w:ind w:left="142" w:hanging="142"/>
        <w:contextualSpacing/>
        <w:jc w:val="both"/>
        <w:rPr>
          <w:rFonts w:ascii="Times New Roman" w:hAnsi="Times New Roman" w:cs="Times New Roman"/>
          <w:sz w:val="24"/>
          <w:szCs w:val="24"/>
        </w:rPr>
      </w:pPr>
      <w:r w:rsidRPr="0007064E">
        <w:rPr>
          <w:rFonts w:ascii="Times New Roman" w:hAnsi="Times New Roman" w:cs="Times New Roman"/>
          <w:sz w:val="24"/>
          <w:szCs w:val="24"/>
        </w:rPr>
        <w:t>4.10. Соответствует требованиям, указанным в документации о закупке.</w:t>
      </w:r>
    </w:p>
    <w:p w:rsidR="00C72889" w:rsidRPr="0007064E" w:rsidRDefault="00C72889" w:rsidP="00C72889">
      <w:pPr>
        <w:ind w:left="142" w:hanging="142"/>
        <w:contextualSpacing/>
        <w:jc w:val="both"/>
        <w:rPr>
          <w:rFonts w:ascii="Times New Roman" w:hAnsi="Times New Roman" w:cs="Times New Roman"/>
          <w:b/>
          <w:sz w:val="24"/>
          <w:szCs w:val="24"/>
        </w:rPr>
      </w:pPr>
    </w:p>
    <w:p w:rsidR="00C72889" w:rsidRPr="0007064E" w:rsidRDefault="00C72889" w:rsidP="00C72889">
      <w:pPr>
        <w:ind w:left="142" w:hanging="142"/>
        <w:contextualSpacing/>
        <w:jc w:val="both"/>
        <w:rPr>
          <w:rFonts w:ascii="Times New Roman" w:hAnsi="Times New Roman" w:cs="Times New Roman"/>
          <w:b/>
          <w:sz w:val="24"/>
          <w:szCs w:val="24"/>
        </w:rPr>
      </w:pPr>
      <w:r w:rsidRPr="0007064E">
        <w:rPr>
          <w:rFonts w:ascii="Times New Roman" w:hAnsi="Times New Roman" w:cs="Times New Roman"/>
          <w:b/>
          <w:sz w:val="24"/>
          <w:szCs w:val="24"/>
        </w:rPr>
        <w:t>5. Условия оплаты:</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5.1. Порядок оплаты:</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 авансовый платёж в размере 80% производится в течение 10 рабочих  дней после подписания </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договора, соответствующей спецификации, получения от Поставщика счета со ссылкой </w:t>
      </w:r>
      <w:proofErr w:type="gramStart"/>
      <w:r w:rsidRPr="0007064E">
        <w:rPr>
          <w:rFonts w:ascii="Times New Roman" w:hAnsi="Times New Roman" w:cs="Times New Roman"/>
          <w:sz w:val="24"/>
          <w:szCs w:val="24"/>
        </w:rPr>
        <w:t>на</w:t>
      </w:r>
      <w:proofErr w:type="gramEnd"/>
      <w:r w:rsidRPr="0007064E">
        <w:rPr>
          <w:rFonts w:ascii="Times New Roman" w:hAnsi="Times New Roman" w:cs="Times New Roman"/>
          <w:sz w:val="24"/>
          <w:szCs w:val="24"/>
        </w:rPr>
        <w:t xml:space="preserve"> </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номер и дату договора. При заключении договора с банковской гарантией, оплата аванса </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производится только после предоставления указанной гарантии.</w:t>
      </w:r>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 </w:t>
      </w:r>
      <w:proofErr w:type="gramStart"/>
      <w:r w:rsidRPr="0007064E">
        <w:rPr>
          <w:rFonts w:ascii="Times New Roman" w:hAnsi="Times New Roman" w:cs="Times New Roman"/>
          <w:sz w:val="24"/>
          <w:szCs w:val="24"/>
        </w:rPr>
        <w:t>о</w:t>
      </w:r>
      <w:proofErr w:type="gramEnd"/>
      <w:r w:rsidRPr="0007064E">
        <w:rPr>
          <w:rFonts w:ascii="Times New Roman" w:hAnsi="Times New Roman" w:cs="Times New Roman"/>
          <w:sz w:val="24"/>
          <w:szCs w:val="24"/>
        </w:rPr>
        <w:t>кончательный расчет производится в течение 10 рабочих дней с момента приемки товара  на складе Покупателя.</w:t>
      </w:r>
    </w:p>
    <w:p w:rsidR="00C72889" w:rsidRPr="0007064E" w:rsidRDefault="00C72889" w:rsidP="00C72889">
      <w:pPr>
        <w:autoSpaceDE w:val="0"/>
        <w:ind w:left="142" w:hanging="142"/>
        <w:contextualSpacing/>
        <w:jc w:val="both"/>
        <w:rPr>
          <w:rFonts w:ascii="Times New Roman" w:eastAsia="DejaVu Sans" w:hAnsi="Times New Roman" w:cs="Times New Roman"/>
          <w:sz w:val="24"/>
          <w:szCs w:val="24"/>
        </w:rPr>
      </w:pPr>
      <w:proofErr w:type="gramStart"/>
      <w:r w:rsidRPr="0007064E">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07064E">
        <w:rPr>
          <w:rFonts w:ascii="Times New Roman" w:hAnsi="Times New Roman" w:cs="Times New Roman"/>
          <w:sz w:val="24"/>
          <w:szCs w:val="24"/>
        </w:rPr>
        <w:t xml:space="preserve">произведен на территории РФ в соответствии с </w:t>
      </w:r>
      <w:r w:rsidRPr="0007064E">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1" w:history="1">
        <w:r w:rsidRPr="0007064E">
          <w:rPr>
            <w:rFonts w:ascii="Times New Roman" w:hAnsi="Times New Roman" w:cs="Times New Roman"/>
            <w:color w:val="000000" w:themeColor="text1"/>
            <w:sz w:val="24"/>
            <w:szCs w:val="24"/>
          </w:rPr>
          <w:t>Постановления</w:t>
        </w:r>
      </w:hyperlink>
      <w:r w:rsidRPr="0007064E">
        <w:rPr>
          <w:rFonts w:ascii="Times New Roman" w:hAnsi="Times New Roman" w:cs="Times New Roman"/>
          <w:color w:val="000000" w:themeColor="text1"/>
          <w:sz w:val="24"/>
          <w:szCs w:val="24"/>
        </w:rPr>
        <w:t xml:space="preserve"> Правительства РФ от 19.05.2021 N 758</w:t>
      </w:r>
      <w:r w:rsidRPr="0007064E">
        <w:rPr>
          <w:rFonts w:ascii="Times New Roman" w:eastAsia="Times New Roman" w:hAnsi="Times New Roman" w:cs="Times New Roman"/>
          <w:color w:val="000000" w:themeColor="text1"/>
          <w:sz w:val="24"/>
          <w:szCs w:val="24"/>
        </w:rPr>
        <w:t>.</w:t>
      </w:r>
      <w:proofErr w:type="gramEnd"/>
    </w:p>
    <w:p w:rsidR="00C72889" w:rsidRPr="0007064E" w:rsidRDefault="00C72889" w:rsidP="00C72889">
      <w:pPr>
        <w:ind w:lef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7064E">
        <w:rPr>
          <w:rFonts w:ascii="Times New Roman" w:hAnsi="Times New Roman" w:cs="Times New Roman"/>
          <w:sz w:val="24"/>
          <w:szCs w:val="24"/>
        </w:rPr>
        <w:t>расходы</w:t>
      </w:r>
      <w:proofErr w:type="gramEnd"/>
      <w:r w:rsidRPr="0007064E">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72889" w:rsidRPr="0007064E" w:rsidRDefault="00C72889" w:rsidP="00C72889">
      <w:pPr>
        <w:autoSpaceDE w:val="0"/>
        <w:ind w:left="142" w:hanging="142"/>
        <w:jc w:val="both"/>
        <w:rPr>
          <w:rFonts w:ascii="Times New Roman" w:eastAsia="DejaVu Sans" w:hAnsi="Times New Roman" w:cs="Times New Roman"/>
          <w:sz w:val="24"/>
          <w:szCs w:val="24"/>
        </w:rPr>
      </w:pPr>
      <w:r w:rsidRPr="0007064E">
        <w:rPr>
          <w:rFonts w:ascii="Times New Roman" w:eastAsia="DejaVu Sans" w:hAnsi="Times New Roman" w:cs="Times New Roman"/>
          <w:sz w:val="24"/>
          <w:szCs w:val="24"/>
        </w:rPr>
        <w:lastRenderedPageBreak/>
        <w:t>6. Опцион.</w:t>
      </w:r>
    </w:p>
    <w:p w:rsidR="00C72889" w:rsidRPr="0007064E" w:rsidRDefault="00C72889" w:rsidP="00C72889">
      <w:pPr>
        <w:suppressAutoHyphens/>
        <w:ind w:left="142" w:right="-142" w:hanging="142"/>
        <w:jc w:val="both"/>
        <w:rPr>
          <w:rFonts w:ascii="Times New Roman" w:hAnsi="Times New Roman" w:cs="Times New Roman"/>
          <w:sz w:val="24"/>
          <w:szCs w:val="24"/>
        </w:rPr>
      </w:pPr>
      <w:r w:rsidRPr="0007064E">
        <w:rPr>
          <w:rFonts w:ascii="Times New Roman" w:hAnsi="Times New Roman" w:cs="Times New Roman"/>
          <w:sz w:val="24"/>
          <w:szCs w:val="24"/>
        </w:rPr>
        <w:t>6.1. В случае заключения между Покупателем и ФГУП «РОСМОРПОРТ» договоров в порядке опциона, предусмотренного д</w:t>
      </w:r>
      <w:r w:rsidRPr="0007064E">
        <w:rPr>
          <w:rFonts w:ascii="Times New Roman" w:hAnsi="Times New Roman" w:cs="Times New Roman"/>
          <w:color w:val="000000" w:themeColor="text1"/>
          <w:sz w:val="24"/>
          <w:szCs w:val="24"/>
        </w:rPr>
        <w:t>оговором от 27.01.2025 №12/ОПЭД-25,</w:t>
      </w:r>
      <w:r w:rsidRPr="0007064E">
        <w:rPr>
          <w:rFonts w:ascii="Times New Roman" w:hAnsi="Times New Roman" w:cs="Times New Roman"/>
          <w:sz w:val="24"/>
          <w:szCs w:val="24"/>
        </w:rPr>
        <w:t xml:space="preserve"> Стороны согласовали право Покупателя заявить требование к Поставщику на поставку ТМЦ по опциону, помимо договора, </w:t>
      </w:r>
      <w:r w:rsidRPr="0007064E">
        <w:rPr>
          <w:rFonts w:ascii="Times New Roman" w:hAnsi="Times New Roman" w:cs="Times New Roman"/>
          <w:color w:val="000000" w:themeColor="text1"/>
          <w:sz w:val="24"/>
          <w:szCs w:val="24"/>
        </w:rPr>
        <w:t>заключённого в рамках выполнения Договора от 27.01.2025 №12/ОПЭД-25</w:t>
      </w:r>
      <w:r w:rsidRPr="0007064E">
        <w:rPr>
          <w:rFonts w:ascii="Times New Roman" w:hAnsi="Times New Roman" w:cs="Times New Roman"/>
          <w:sz w:val="24"/>
          <w:szCs w:val="24"/>
        </w:rPr>
        <w:t xml:space="preserve">. </w:t>
      </w:r>
    </w:p>
    <w:p w:rsidR="00C72889" w:rsidRPr="0007064E" w:rsidRDefault="00C72889" w:rsidP="00C72889">
      <w:pPr>
        <w:suppressAutoHyphens/>
        <w:ind w:left="142" w:righ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6.2. Право требования на поставку по опциону может быть заявлено Покупателем в течение 24 (двадцати четырех) месяцев </w:t>
      </w:r>
      <w:proofErr w:type="gramStart"/>
      <w:r w:rsidRPr="0007064E">
        <w:rPr>
          <w:rFonts w:ascii="Times New Roman" w:hAnsi="Times New Roman" w:cs="Times New Roman"/>
          <w:sz w:val="24"/>
          <w:szCs w:val="24"/>
        </w:rPr>
        <w:t>с даты подписания</w:t>
      </w:r>
      <w:proofErr w:type="gramEnd"/>
      <w:r w:rsidRPr="0007064E">
        <w:rPr>
          <w:rFonts w:ascii="Times New Roman" w:hAnsi="Times New Roman" w:cs="Times New Roman"/>
          <w:sz w:val="24"/>
          <w:szCs w:val="24"/>
        </w:rPr>
        <w:t xml:space="preserve"> настоящего Договора.</w:t>
      </w:r>
    </w:p>
    <w:p w:rsidR="00C72889" w:rsidRPr="0007064E" w:rsidRDefault="00C72889" w:rsidP="00C72889">
      <w:pPr>
        <w:suppressAutoHyphens/>
        <w:ind w:left="142" w:right="-142" w:hanging="142"/>
        <w:jc w:val="both"/>
        <w:rPr>
          <w:rFonts w:ascii="Times New Roman" w:hAnsi="Times New Roman" w:cs="Times New Roman"/>
          <w:sz w:val="24"/>
          <w:szCs w:val="24"/>
        </w:rPr>
      </w:pPr>
      <w:r w:rsidRPr="0007064E">
        <w:rPr>
          <w:rFonts w:ascii="Times New Roman" w:hAnsi="Times New Roman" w:cs="Times New Roman"/>
          <w:sz w:val="24"/>
          <w:szCs w:val="24"/>
        </w:rPr>
        <w:t xml:space="preserve">6.3. </w:t>
      </w:r>
      <w:proofErr w:type="gramStart"/>
      <w:r w:rsidRPr="0007064E">
        <w:rPr>
          <w:rFonts w:ascii="Times New Roman" w:hAnsi="Times New Roman" w:cs="Times New Roman"/>
          <w:sz w:val="24"/>
          <w:szCs w:val="24"/>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Default="00C72889" w:rsidP="0007064E">
      <w:pPr>
        <w:suppressAutoHyphens/>
        <w:ind w:right="-142"/>
        <w:jc w:val="both"/>
        <w:rPr>
          <w:rFonts w:ascii="Times New Roman" w:hAnsi="Times New Roman" w:cs="Times New Roman"/>
        </w:rPr>
      </w:pPr>
    </w:p>
    <w:p w:rsidR="00C72889" w:rsidRDefault="00C72889" w:rsidP="00C72889">
      <w:pPr>
        <w:suppressAutoHyphens/>
        <w:ind w:left="142" w:right="-142" w:hanging="142"/>
        <w:jc w:val="both"/>
        <w:rPr>
          <w:rFonts w:ascii="Times New Roman" w:hAnsi="Times New Roman" w:cs="Times New Roman"/>
        </w:rPr>
      </w:pPr>
    </w:p>
    <w:p w:rsidR="00C72889" w:rsidRPr="007F43E9" w:rsidRDefault="00C72889" w:rsidP="00C72889">
      <w:pPr>
        <w:suppressAutoHyphens/>
        <w:ind w:left="142" w:right="-142" w:hanging="142"/>
        <w:jc w:val="both"/>
        <w:rPr>
          <w:rFonts w:ascii="Times New Roman" w:hAnsi="Times New Roman" w:cs="Times New Roman"/>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0"/>
        <w:gridCol w:w="12"/>
        <w:gridCol w:w="1417"/>
      </w:tblGrid>
      <w:tr w:rsidR="0007064E" w:rsidRPr="008E77AF" w:rsidTr="007C6D27">
        <w:trPr>
          <w:trHeight w:val="583"/>
        </w:trPr>
        <w:tc>
          <w:tcPr>
            <w:tcW w:w="56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p>
          <w:p w:rsidR="0007064E" w:rsidRPr="008E77AF" w:rsidRDefault="0007064E" w:rsidP="007C6D27">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8222" w:type="dxa"/>
            <w:gridSpan w:val="2"/>
            <w:shd w:val="clear" w:color="auto" w:fill="auto"/>
            <w:vAlign w:val="center"/>
          </w:tcPr>
          <w:p w:rsidR="0007064E" w:rsidRPr="008E77AF" w:rsidRDefault="0007064E" w:rsidP="007C6D27">
            <w:pPr>
              <w:suppressAutoHyphens/>
              <w:ind w:left="167"/>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Наименование материала</w:t>
            </w:r>
          </w:p>
        </w:tc>
        <w:tc>
          <w:tcPr>
            <w:tcW w:w="141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Кол-во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шт.</w:t>
            </w:r>
          </w:p>
        </w:tc>
      </w:tr>
      <w:tr w:rsidR="0007064E" w:rsidRPr="008E77AF" w:rsidTr="007C6D27">
        <w:trPr>
          <w:trHeight w:val="220"/>
        </w:trPr>
        <w:tc>
          <w:tcPr>
            <w:tcW w:w="56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w:t>
            </w:r>
            <w:r w:rsidRPr="008E77AF">
              <w:rPr>
                <w:rFonts w:ascii="Times New Roman" w:eastAsia="Calibri" w:hAnsi="Times New Roman" w:cs="Calibri"/>
                <w:lang w:eastAsia="ar-SA"/>
              </w:rPr>
              <w:t>1.</w:t>
            </w:r>
          </w:p>
        </w:tc>
        <w:tc>
          <w:tcPr>
            <w:tcW w:w="8222" w:type="dxa"/>
            <w:gridSpan w:val="2"/>
            <w:shd w:val="clear" w:color="auto" w:fill="auto"/>
            <w:vAlign w:val="center"/>
          </w:tcPr>
          <w:p w:rsidR="0007064E" w:rsidRPr="00D21C64" w:rsidRDefault="0007064E" w:rsidP="007C6D27">
            <w:pPr>
              <w:suppressAutoHyphens/>
              <w:jc w:val="both"/>
              <w:rPr>
                <w:rFonts w:ascii="Times New Roman" w:eastAsia="Calibri" w:hAnsi="Times New Roman" w:cs="Calibri"/>
                <w:lang w:eastAsia="ar-SA"/>
              </w:rPr>
            </w:pPr>
          </w:p>
        </w:tc>
        <w:tc>
          <w:tcPr>
            <w:tcW w:w="1417" w:type="dxa"/>
            <w:shd w:val="clear" w:color="auto" w:fill="auto"/>
            <w:vAlign w:val="center"/>
          </w:tcPr>
          <w:p w:rsidR="0007064E" w:rsidRPr="00D21C64" w:rsidRDefault="0007064E" w:rsidP="007C6D27">
            <w:pPr>
              <w:suppressAutoHyphens/>
              <w:jc w:val="both"/>
              <w:rPr>
                <w:rFonts w:ascii="Times New Roman" w:eastAsia="Calibri" w:hAnsi="Times New Roman" w:cs="Calibri"/>
                <w:lang w:val="en-US" w:eastAsia="ar-SA"/>
              </w:rPr>
            </w:pPr>
          </w:p>
        </w:tc>
      </w:tr>
      <w:tr w:rsidR="0007064E" w:rsidRPr="008E77AF" w:rsidTr="007C6D27">
        <w:trPr>
          <w:trHeight w:val="220"/>
        </w:trPr>
        <w:tc>
          <w:tcPr>
            <w:tcW w:w="56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2.</w:t>
            </w:r>
          </w:p>
        </w:tc>
        <w:tc>
          <w:tcPr>
            <w:tcW w:w="8222" w:type="dxa"/>
            <w:gridSpan w:val="2"/>
            <w:shd w:val="clear" w:color="auto" w:fill="auto"/>
            <w:vAlign w:val="center"/>
          </w:tcPr>
          <w:p w:rsidR="0007064E" w:rsidRPr="00D57FB5" w:rsidRDefault="0007064E" w:rsidP="007C6D27">
            <w:pPr>
              <w:suppressAutoHyphens/>
              <w:jc w:val="both"/>
              <w:rPr>
                <w:rFonts w:ascii="Times New Roman" w:eastAsia="Calibri" w:hAnsi="Times New Roman" w:cs="Calibri"/>
                <w:lang w:eastAsia="ar-SA"/>
              </w:rPr>
            </w:pPr>
          </w:p>
        </w:tc>
        <w:tc>
          <w:tcPr>
            <w:tcW w:w="141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p>
        </w:tc>
      </w:tr>
      <w:tr w:rsidR="0007064E" w:rsidRPr="008E77AF" w:rsidTr="007C6D27">
        <w:trPr>
          <w:trHeight w:val="220"/>
        </w:trPr>
        <w:tc>
          <w:tcPr>
            <w:tcW w:w="567" w:type="dxa"/>
            <w:shd w:val="clear" w:color="auto" w:fill="auto"/>
            <w:vAlign w:val="center"/>
          </w:tcPr>
          <w:p w:rsidR="0007064E" w:rsidRDefault="0007064E" w:rsidP="007C6D27">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3.</w:t>
            </w:r>
          </w:p>
        </w:tc>
        <w:tc>
          <w:tcPr>
            <w:tcW w:w="8222" w:type="dxa"/>
            <w:gridSpan w:val="2"/>
            <w:shd w:val="clear" w:color="auto" w:fill="auto"/>
            <w:vAlign w:val="center"/>
          </w:tcPr>
          <w:p w:rsidR="0007064E" w:rsidRPr="00B81F6C" w:rsidRDefault="0007064E" w:rsidP="007C6D27">
            <w:pPr>
              <w:suppressAutoHyphens/>
              <w:jc w:val="both"/>
              <w:rPr>
                <w:rFonts w:ascii="Times New Roman" w:eastAsia="Calibri" w:hAnsi="Times New Roman" w:cs="Calibri"/>
                <w:lang w:eastAsia="ar-SA"/>
              </w:rPr>
            </w:pPr>
          </w:p>
        </w:tc>
        <w:tc>
          <w:tcPr>
            <w:tcW w:w="141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p>
        </w:tc>
      </w:tr>
      <w:tr w:rsidR="0007064E" w:rsidRPr="008E77AF" w:rsidTr="007C6D27">
        <w:trPr>
          <w:trHeight w:val="220"/>
        </w:trPr>
        <w:tc>
          <w:tcPr>
            <w:tcW w:w="567" w:type="dxa"/>
            <w:shd w:val="clear" w:color="auto" w:fill="auto"/>
            <w:vAlign w:val="center"/>
          </w:tcPr>
          <w:p w:rsidR="0007064E" w:rsidRDefault="0007064E" w:rsidP="007C6D27">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4.</w:t>
            </w:r>
          </w:p>
        </w:tc>
        <w:tc>
          <w:tcPr>
            <w:tcW w:w="8222" w:type="dxa"/>
            <w:gridSpan w:val="2"/>
            <w:shd w:val="clear" w:color="auto" w:fill="auto"/>
            <w:vAlign w:val="center"/>
          </w:tcPr>
          <w:p w:rsidR="0007064E" w:rsidRPr="00D57FB5" w:rsidRDefault="0007064E" w:rsidP="007C6D27">
            <w:pPr>
              <w:suppressAutoHyphens/>
              <w:jc w:val="both"/>
              <w:rPr>
                <w:rFonts w:ascii="Times New Roman" w:eastAsia="Calibri" w:hAnsi="Times New Roman" w:cs="Calibri"/>
                <w:lang w:eastAsia="ar-SA"/>
              </w:rPr>
            </w:pPr>
          </w:p>
        </w:tc>
        <w:tc>
          <w:tcPr>
            <w:tcW w:w="1417" w:type="dxa"/>
            <w:shd w:val="clear" w:color="auto" w:fill="auto"/>
            <w:vAlign w:val="center"/>
          </w:tcPr>
          <w:p w:rsidR="0007064E" w:rsidRPr="008E77AF" w:rsidRDefault="0007064E" w:rsidP="007C6D27">
            <w:pPr>
              <w:suppressAutoHyphens/>
              <w:jc w:val="both"/>
              <w:rPr>
                <w:rFonts w:ascii="Times New Roman" w:eastAsia="Calibri" w:hAnsi="Times New Roman" w:cs="Calibri"/>
                <w:lang w:eastAsia="ar-SA"/>
              </w:rPr>
            </w:pPr>
          </w:p>
        </w:tc>
      </w:tr>
      <w:tr w:rsidR="0007064E" w:rsidRPr="008E77AF" w:rsidTr="0007064E">
        <w:trPr>
          <w:trHeight w:val="654"/>
        </w:trPr>
        <w:tc>
          <w:tcPr>
            <w:tcW w:w="8777" w:type="dxa"/>
            <w:gridSpan w:val="2"/>
            <w:shd w:val="clear" w:color="auto" w:fill="auto"/>
            <w:vAlign w:val="center"/>
          </w:tcPr>
          <w:p w:rsidR="0007064E" w:rsidRDefault="0007064E" w:rsidP="007C6D27">
            <w:pPr>
              <w:suppressAutoHyphens/>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Стоимость с НДС  (НМЦД) руб.</w:t>
            </w:r>
          </w:p>
          <w:p w:rsidR="0007064E" w:rsidRPr="008E77AF" w:rsidRDefault="0007064E" w:rsidP="007C6D27">
            <w:pPr>
              <w:suppressAutoHyphens/>
              <w:jc w:val="both"/>
              <w:rPr>
                <w:rFonts w:ascii="Times New Roman" w:eastAsia="Calibri" w:hAnsi="Times New Roman" w:cs="Calibri"/>
                <w:b/>
                <w:lang w:eastAsia="ar-SA"/>
              </w:rPr>
            </w:pPr>
          </w:p>
        </w:tc>
        <w:tc>
          <w:tcPr>
            <w:tcW w:w="1429" w:type="dxa"/>
            <w:gridSpan w:val="2"/>
            <w:shd w:val="clear" w:color="auto" w:fill="auto"/>
            <w:vAlign w:val="center"/>
          </w:tcPr>
          <w:p w:rsidR="0007064E" w:rsidRPr="008E77AF" w:rsidRDefault="0007064E" w:rsidP="0007064E">
            <w:pPr>
              <w:suppressAutoHyphens/>
              <w:jc w:val="both"/>
              <w:rPr>
                <w:rFonts w:ascii="Times New Roman" w:eastAsia="Calibri" w:hAnsi="Times New Roman" w:cs="Calibri"/>
                <w:b/>
                <w:lang w:eastAsia="ar-SA"/>
              </w:rPr>
            </w:pPr>
            <w:r>
              <w:rPr>
                <w:rFonts w:ascii="Times New Roman" w:eastAsia="Calibri" w:hAnsi="Times New Roman" w:cs="Calibri"/>
                <w:b/>
                <w:lang w:eastAsia="ar-SA"/>
              </w:rPr>
              <w:t xml:space="preserve">  </w:t>
            </w:r>
          </w:p>
        </w:tc>
      </w:tr>
    </w:tbl>
    <w:p w:rsidR="0007064E" w:rsidRDefault="0007064E" w:rsidP="0007064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AF138D">
        <w:rPr>
          <w:rFonts w:ascii="Times New Roman" w:eastAsia="Calibri" w:hAnsi="Times New Roman" w:cs="Times New Roman"/>
          <w:i/>
          <w:sz w:val="24"/>
          <w:szCs w:val="24"/>
          <w:lang w:eastAsia="zh-CN"/>
        </w:rPr>
        <w:t>юанях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AF138D">
        <w:rPr>
          <w:rFonts w:ascii="Times New Roman" w:eastAsia="Calibri" w:hAnsi="Times New Roman" w:cs="Times New Roman"/>
          <w:b/>
          <w:bCs/>
          <w:sz w:val="24"/>
          <w:szCs w:val="24"/>
          <w:lang w:eastAsia="zh-CN"/>
        </w:rPr>
        <w:t>юань</w:t>
      </w:r>
      <w:proofErr w:type="gramStart"/>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roofErr w:type="gramEnd"/>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07064E" w:rsidRDefault="0007064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1A462D">
        <w:rPr>
          <w:rFonts w:ascii="Times New Roman" w:eastAsia="Times New Roman" w:hAnsi="Times New Roman" w:cs="Times New Roman"/>
          <w:color w:val="000000" w:themeColor="text1"/>
        </w:rPr>
        <w:t>юанях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09" w:rsidRDefault="00132C09" w:rsidP="00045E6F">
      <w:pPr>
        <w:spacing w:after="0" w:line="240" w:lineRule="auto"/>
      </w:pPr>
      <w:r>
        <w:separator/>
      </w:r>
    </w:p>
  </w:endnote>
  <w:endnote w:type="continuationSeparator" w:id="0">
    <w:p w:rsidR="00132C09" w:rsidRDefault="00132C0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09" w:rsidRDefault="00132C09" w:rsidP="00045E6F">
      <w:pPr>
        <w:spacing w:after="0" w:line="240" w:lineRule="auto"/>
      </w:pPr>
      <w:r>
        <w:separator/>
      </w:r>
    </w:p>
  </w:footnote>
  <w:footnote w:type="continuationSeparator" w:id="0">
    <w:p w:rsidR="00132C09" w:rsidRDefault="00132C09" w:rsidP="00045E6F">
      <w:pPr>
        <w:spacing w:after="0" w:line="240" w:lineRule="auto"/>
      </w:pPr>
      <w:r>
        <w:continuationSeparator/>
      </w:r>
    </w:p>
  </w:footnote>
  <w:footnote w:id="1">
    <w:p w:rsidR="00132C09" w:rsidRDefault="00132C09" w:rsidP="004A5C14"/>
    <w:p w:rsidR="00132C09" w:rsidRPr="006A4B85" w:rsidRDefault="00132C0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7064E"/>
    <w:rsid w:val="000904C3"/>
    <w:rsid w:val="00094B26"/>
    <w:rsid w:val="000B27B1"/>
    <w:rsid w:val="000B3976"/>
    <w:rsid w:val="000B3BC8"/>
    <w:rsid w:val="000C00C5"/>
    <w:rsid w:val="000D3465"/>
    <w:rsid w:val="00115109"/>
    <w:rsid w:val="00122D1F"/>
    <w:rsid w:val="00132C09"/>
    <w:rsid w:val="001409F8"/>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35345"/>
    <w:rsid w:val="006430A5"/>
    <w:rsid w:val="00643F0A"/>
    <w:rsid w:val="00646B22"/>
    <w:rsid w:val="00646D90"/>
    <w:rsid w:val="006539E9"/>
    <w:rsid w:val="0069699D"/>
    <w:rsid w:val="006A1178"/>
    <w:rsid w:val="006C427B"/>
    <w:rsid w:val="006D0938"/>
    <w:rsid w:val="006D55C0"/>
    <w:rsid w:val="006F086C"/>
    <w:rsid w:val="006F6E3F"/>
    <w:rsid w:val="00701B02"/>
    <w:rsid w:val="00732D72"/>
    <w:rsid w:val="00736FD3"/>
    <w:rsid w:val="00743300"/>
    <w:rsid w:val="007530C6"/>
    <w:rsid w:val="00775912"/>
    <w:rsid w:val="00775B21"/>
    <w:rsid w:val="00775B5A"/>
    <w:rsid w:val="00791F18"/>
    <w:rsid w:val="007A1B51"/>
    <w:rsid w:val="007D4799"/>
    <w:rsid w:val="007F39D6"/>
    <w:rsid w:val="008136C3"/>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AF138D"/>
    <w:rsid w:val="00B03A73"/>
    <w:rsid w:val="00B05F32"/>
    <w:rsid w:val="00B10FEF"/>
    <w:rsid w:val="00B31876"/>
    <w:rsid w:val="00B4181A"/>
    <w:rsid w:val="00B76104"/>
    <w:rsid w:val="00B82C64"/>
    <w:rsid w:val="00BA0A5A"/>
    <w:rsid w:val="00BD083F"/>
    <w:rsid w:val="00BD0A56"/>
    <w:rsid w:val="00C03B24"/>
    <w:rsid w:val="00C05563"/>
    <w:rsid w:val="00C11B70"/>
    <w:rsid w:val="00C14721"/>
    <w:rsid w:val="00C1774E"/>
    <w:rsid w:val="00C2417B"/>
    <w:rsid w:val="00C55C08"/>
    <w:rsid w:val="00C64C1B"/>
    <w:rsid w:val="00C72889"/>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7DBB-EF36-46F6-9C15-37C08362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12837</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2025-08-22T07:39:00Z</dcterms:created>
  <dcterms:modified xsi:type="dcterms:W3CDTF">2025-08-22T08:04:00Z</dcterms:modified>
</cp:coreProperties>
</file>