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6D2037" w:rsidRPr="006D2037" w:rsidRDefault="006D2037" w:rsidP="006D2037">
            <w:pPr>
              <w:suppressAutoHyphens/>
              <w:jc w:val="center"/>
              <w:rPr>
                <w:rFonts w:ascii="Times New Roman" w:eastAsia="Calibri" w:hAnsi="Times New Roman" w:cs="Calibri"/>
                <w:b/>
                <w:sz w:val="24"/>
                <w:szCs w:val="24"/>
                <w:lang w:eastAsia="ar-SA"/>
              </w:rPr>
            </w:pPr>
            <w:r w:rsidRPr="006D2037">
              <w:rPr>
                <w:rFonts w:ascii="Times New Roman" w:hAnsi="Times New Roman" w:cs="Times New Roman"/>
                <w:b/>
                <w:sz w:val="24"/>
                <w:szCs w:val="24"/>
              </w:rPr>
              <w:t xml:space="preserve">ДОКУМЕНТАЦИЯ О ПРОВЕДЕНИИ ЗАПРОСА КОММЕРЧЕСКИХ ПРЕДЛОЖЕНИЙ  НА ПРИОБРЕТЕНИЕ </w:t>
            </w:r>
            <w:r w:rsidRPr="006D2037">
              <w:rPr>
                <w:rFonts w:ascii="Times New Roman" w:eastAsia="Calibri" w:hAnsi="Times New Roman" w:cs="Calibri"/>
                <w:b/>
                <w:sz w:val="24"/>
                <w:szCs w:val="24"/>
                <w:lang w:eastAsia="ar-SA"/>
              </w:rPr>
              <w:t xml:space="preserve"> БЫСТРОИЗНАШИВАЮЩИХСЯ ДЕТАЛЕЙ К СВАРОЧНЫМ ГОРЕЛКАМ MB EVO 36  ДЛЯ  ФОРМИРОВАНИЯ КОРПУСА ЗАКАЗ ЗАВ. №501.</w:t>
            </w:r>
          </w:p>
          <w:p w:rsidR="00EF5C86" w:rsidRPr="003A5FDF" w:rsidRDefault="00EF5C86" w:rsidP="006D2037">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6D2037">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6D2037">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D2037">
              <w:rPr>
                <w:rFonts w:ascii="Times New Roman" w:hAnsi="Times New Roman" w:cs="Times New Roman"/>
                <w:color w:val="000000"/>
                <w:sz w:val="24"/>
                <w:szCs w:val="24"/>
              </w:rPr>
              <w:t>8-22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6D2037">
              <w:rPr>
                <w:rFonts w:ascii="Times New Roman" w:hAnsi="Times New Roman" w:cs="Times New Roman"/>
                <w:sz w:val="24"/>
                <w:szCs w:val="24"/>
              </w:rPr>
              <w:t xml:space="preserve"> Зарешнюк Владимир Михайлович</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D2037" w:rsidRPr="006D2037" w:rsidRDefault="006D2037" w:rsidP="006D2037">
            <w:pPr>
              <w:suppressAutoHyphens/>
              <w:jc w:val="center"/>
              <w:rPr>
                <w:rFonts w:ascii="Times New Roman" w:eastAsia="Calibri" w:hAnsi="Times New Roman" w:cs="Calibri"/>
                <w:sz w:val="24"/>
                <w:szCs w:val="24"/>
                <w:lang w:eastAsia="ar-SA"/>
              </w:rPr>
            </w:pPr>
            <w:bookmarkStart w:id="0" w:name="_GoBack"/>
            <w:r>
              <w:rPr>
                <w:rFonts w:ascii="Times New Roman" w:eastAsia="Calibri" w:hAnsi="Times New Roman" w:cs="Calibri"/>
                <w:sz w:val="24"/>
                <w:szCs w:val="24"/>
                <w:lang w:eastAsia="ar-SA"/>
              </w:rPr>
              <w:t xml:space="preserve">      </w:t>
            </w:r>
            <w:r w:rsidRPr="006D2037">
              <w:rPr>
                <w:rFonts w:ascii="Times New Roman" w:eastAsia="Calibri" w:hAnsi="Times New Roman" w:cs="Calibri"/>
                <w:sz w:val="24"/>
                <w:szCs w:val="24"/>
                <w:lang w:eastAsia="ar-SA"/>
              </w:rPr>
              <w:t>Приобретение быстроизнашивающихся деталей к сварочным горелкам MB EVO 36  для  формирования корпуса заказ зав. №501.</w:t>
            </w:r>
            <w:bookmarkEnd w:id="0"/>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6D2037" w:rsidP="00775B21">
            <w:pPr>
              <w:contextualSpacing/>
              <w:jc w:val="both"/>
              <w:rPr>
                <w:rFonts w:ascii="Times New Roman" w:hAnsi="Times New Roman" w:cs="Times New Roman"/>
                <w:sz w:val="24"/>
                <w:szCs w:val="24"/>
              </w:rPr>
            </w:pPr>
            <w:r w:rsidRPr="00B847D0">
              <w:rPr>
                <w:rFonts w:ascii="Times New Roman" w:hAnsi="Times New Roman" w:cs="Times New Roman"/>
              </w:rPr>
              <w:t xml:space="preserve">В течение </w:t>
            </w:r>
            <w:r>
              <w:rPr>
                <w:rFonts w:ascii="Times New Roman" w:hAnsi="Times New Roman" w:cs="Times New Roman"/>
              </w:rPr>
              <w:t>3</w:t>
            </w:r>
            <w:r w:rsidRPr="00B847D0">
              <w:rPr>
                <w:rFonts w:ascii="Times New Roman" w:hAnsi="Times New Roman" w:cs="Times New Roman"/>
              </w:rPr>
              <w:t>0 (</w:t>
            </w:r>
            <w:r>
              <w:rPr>
                <w:rFonts w:ascii="Times New Roman" w:hAnsi="Times New Roman" w:cs="Times New Roman"/>
              </w:rPr>
              <w:t>тридцать</w:t>
            </w:r>
            <w:r w:rsidRPr="00B847D0">
              <w:rPr>
                <w:rFonts w:ascii="Times New Roman" w:hAnsi="Times New Roman" w:cs="Times New Roman"/>
              </w:rPr>
              <w:t xml:space="preserve">) календарных дней с момента оплаты авансового платежа в размере </w:t>
            </w:r>
            <w:r>
              <w:rPr>
                <w:rFonts w:ascii="Times New Roman" w:hAnsi="Times New Roman" w:cs="Times New Roman"/>
              </w:rPr>
              <w:t>80</w:t>
            </w:r>
            <w:r w:rsidRPr="00B847D0">
              <w:rPr>
                <w:rFonts w:ascii="Times New Roman" w:hAnsi="Times New Roman" w:cs="Times New Roman"/>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Default="00775B5A" w:rsidP="007D4799">
            <w:pPr>
              <w:pStyle w:val="Style11"/>
              <w:widowControl/>
              <w:jc w:val="both"/>
            </w:pPr>
            <w:r w:rsidRPr="00946FDA">
              <w:t>Товар поставляется силами и за счет Поставщика до склада Покупателя</w:t>
            </w:r>
            <w:r>
              <w:t xml:space="preserve"> расположенного </w:t>
            </w:r>
            <w:r w:rsidRPr="00946FDA">
              <w:t xml:space="preserve"> по адресу:  </w:t>
            </w:r>
            <w:r>
              <w:t>г. Керчь, ул. Танкистов,4.</w:t>
            </w:r>
          </w:p>
          <w:p w:rsidR="00EC3231" w:rsidRPr="001B4074" w:rsidRDefault="00EC3231" w:rsidP="006D2037">
            <w:pPr>
              <w:pStyle w:val="a5"/>
              <w:ind w:left="0" w:firstLine="567"/>
              <w:jc w:val="both"/>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6D2037" w:rsidP="003A5FDF">
            <w:pPr>
              <w:jc w:val="center"/>
              <w:rPr>
                <w:rFonts w:ascii="Times New Roman" w:hAnsi="Times New Roman" w:cs="Times New Roman"/>
                <w:b/>
                <w:sz w:val="24"/>
                <w:szCs w:val="24"/>
              </w:rPr>
            </w:pPr>
            <w:r>
              <w:rPr>
                <w:rFonts w:ascii="Times New Roman" w:hAnsi="Times New Roman" w:cs="Times New Roman"/>
                <w:b/>
                <w:bCs/>
                <w:sz w:val="24"/>
                <w:szCs w:val="24"/>
              </w:rPr>
              <w:t>959 183,50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75B5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D2037"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D2037"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D2037">
              <w:rPr>
                <w:rFonts w:ascii="Times New Roman" w:hAnsi="Times New Roman" w:cs="Times New Roman"/>
                <w:sz w:val="24"/>
                <w:szCs w:val="24"/>
              </w:rPr>
              <w:t>30</w:t>
            </w:r>
            <w:r w:rsidRPr="001B4074">
              <w:rPr>
                <w:rFonts w:ascii="Times New Roman" w:hAnsi="Times New Roman" w:cs="Times New Roman"/>
                <w:sz w:val="24"/>
                <w:szCs w:val="24"/>
              </w:rPr>
              <w:t>.</w:t>
            </w:r>
            <w:r w:rsidR="003A5FDF">
              <w:rPr>
                <w:rFonts w:ascii="Times New Roman" w:hAnsi="Times New Roman" w:cs="Times New Roman"/>
                <w:sz w:val="24"/>
                <w:szCs w:val="24"/>
              </w:rPr>
              <w:t>0</w:t>
            </w:r>
            <w:r w:rsidR="006D2037">
              <w:rPr>
                <w:rFonts w:ascii="Times New Roman" w:hAnsi="Times New Roman" w:cs="Times New Roman"/>
                <w:sz w:val="24"/>
                <w:szCs w:val="24"/>
              </w:rPr>
              <w:t>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D2037">
              <w:rPr>
                <w:rFonts w:ascii="Times New Roman" w:hAnsi="Times New Roman" w:cs="Times New Roman"/>
                <w:sz w:val="24"/>
                <w:szCs w:val="24"/>
              </w:rPr>
              <w:t>14</w:t>
            </w:r>
            <w:r w:rsidR="003A5FDF">
              <w:rPr>
                <w:rFonts w:ascii="Times New Roman" w:hAnsi="Times New Roman" w:cs="Times New Roman"/>
                <w:sz w:val="24"/>
                <w:szCs w:val="24"/>
              </w:rPr>
              <w:t>:00</w:t>
            </w:r>
          </w:p>
          <w:p w:rsidR="00A606A3" w:rsidRPr="001B4074" w:rsidRDefault="00A606A3" w:rsidP="006D2037">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D2037">
              <w:rPr>
                <w:rFonts w:ascii="Times New Roman" w:hAnsi="Times New Roman" w:cs="Times New Roman"/>
                <w:sz w:val="24"/>
                <w:szCs w:val="24"/>
              </w:rPr>
              <w:t>09</w:t>
            </w:r>
            <w:r w:rsidRPr="001B4074">
              <w:rPr>
                <w:rFonts w:ascii="Times New Roman" w:hAnsi="Times New Roman" w:cs="Times New Roman"/>
                <w:sz w:val="24"/>
                <w:szCs w:val="24"/>
              </w:rPr>
              <w:t>.</w:t>
            </w:r>
            <w:r w:rsidR="006D2037">
              <w:rPr>
                <w:rFonts w:ascii="Times New Roman" w:hAnsi="Times New Roman" w:cs="Times New Roman"/>
                <w:sz w:val="24"/>
                <w:szCs w:val="24"/>
              </w:rPr>
              <w:t>07</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D2037" w:rsidP="006D2037">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08</w:t>
            </w:r>
            <w:r w:rsidR="00A606A3" w:rsidRPr="001B4074">
              <w:rPr>
                <w:rFonts w:ascii="Times New Roman" w:hAnsi="Times New Roman" w:cs="Times New Roman"/>
                <w:sz w:val="24"/>
                <w:szCs w:val="24"/>
              </w:rPr>
              <w:t>.</w:t>
            </w:r>
            <w:r>
              <w:rPr>
                <w:rFonts w:ascii="Times New Roman" w:hAnsi="Times New Roman" w:cs="Times New Roman"/>
                <w:sz w:val="24"/>
                <w:szCs w:val="24"/>
              </w:rPr>
              <w:t>08</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w:t>
            </w:r>
            <w:r w:rsidRPr="001B4074">
              <w:rPr>
                <w:rFonts w:ascii="Times New Roman" w:hAnsi="Times New Roman" w:cs="Times New Roman"/>
                <w:sz w:val="24"/>
                <w:szCs w:val="24"/>
              </w:rPr>
              <w:lastRenderedPageBreak/>
              <w:t>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E342F6">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6D2037">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w:t>
            </w:r>
            <w:r w:rsidR="00C94A5E">
              <w:rPr>
                <w:rFonts w:ascii="Times New Roman" w:hAnsi="Times New Roman" w:cs="Times New Roman"/>
                <w:b/>
                <w:sz w:val="24"/>
                <w:szCs w:val="24"/>
                <w:highlight w:val="yellow"/>
              </w:rPr>
              <w:lastRenderedPageBreak/>
              <w:t>на актуальную дату</w:t>
            </w:r>
            <w:r w:rsidR="006D2037">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3F7EDE">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Окончательный расчет производится в течение 10 рабочих дней с момента приемки товара по качеству и количеству на складе Покупателя без замечаний.</w:t>
            </w:r>
          </w:p>
          <w:p w:rsidR="00A606A3" w:rsidRPr="001B4074" w:rsidRDefault="00AC2CFF" w:rsidP="00002A69">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w:t>
            </w:r>
            <w:r w:rsidR="00002A69">
              <w:rPr>
                <w:rFonts w:ascii="Times New Roman" w:eastAsia="DejaVu Sans" w:hAnsi="Times New Roman" w:cs="Times New Roman"/>
                <w:sz w:val="24"/>
                <w:szCs w:val="24"/>
              </w:rPr>
              <w:t>огласно акту входного контроля.</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w:t>
            </w:r>
            <w:r w:rsidRPr="001B4074">
              <w:rPr>
                <w:rFonts w:ascii="Times New Roman" w:eastAsia="Times New Roman" w:hAnsi="Times New Roman" w:cs="Times New Roman"/>
                <w:sz w:val="24"/>
                <w:szCs w:val="24"/>
                <w:lang w:eastAsia="ru-RU" w:bidi="ru-RU"/>
              </w:rPr>
              <w:lastRenderedPageBreak/>
              <w:t>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w:t>
            </w:r>
            <w:r w:rsidRPr="001B4074">
              <w:rPr>
                <w:rFonts w:ascii="Times New Roman" w:hAnsi="Times New Roman" w:cs="Times New Roman"/>
                <w:sz w:val="24"/>
                <w:szCs w:val="24"/>
              </w:rPr>
              <w:lastRenderedPageBreak/>
              <w:t xml:space="preserve">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27. Критерии оценки и </w:t>
            </w:r>
            <w:r w:rsidRPr="001B4074">
              <w:rPr>
                <w:rFonts w:ascii="Times New Roman" w:hAnsi="Times New Roman" w:cs="Times New Roman"/>
                <w:b/>
                <w:sz w:val="24"/>
                <w:szCs w:val="24"/>
              </w:rPr>
              <w:lastRenderedPageBreak/>
              <w:t xml:space="preserve">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lastRenderedPageBreak/>
              <w:t xml:space="preserve">В связи с тем, что в соответствии со статьей 171 Налогового </w:t>
            </w:r>
            <w:r w:rsidRPr="001B4074">
              <w:rPr>
                <w:rFonts w:ascii="Times New Roman" w:eastAsia="Times New Roman" w:hAnsi="Times New Roman" w:cs="Times New Roman"/>
                <w:bCs/>
                <w:i/>
                <w:sz w:val="24"/>
                <w:szCs w:val="24"/>
                <w:lang w:val="x-none" w:eastAsia="ru-RU"/>
              </w:rPr>
              <w:lastRenderedPageBreak/>
              <w:t>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2A6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EC3231">
        <w:tc>
          <w:tcPr>
            <w:tcW w:w="3227"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w:t>
            </w:r>
            <w:r w:rsidRPr="00094B26">
              <w:rPr>
                <w:rFonts w:ascii="Times New Roman" w:hAnsi="Times New Roman" w:cs="Times New Roman"/>
                <w:sz w:val="24"/>
                <w:szCs w:val="24"/>
                <w:highlight w:val="yellow"/>
              </w:rPr>
              <w:lastRenderedPageBreak/>
              <w:t xml:space="preserve">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BB12F1" w:rsidRDefault="00BB12F1" w:rsidP="00994A09">
      <w:pPr>
        <w:tabs>
          <w:tab w:val="left" w:pos="231"/>
        </w:tabs>
        <w:spacing w:line="190" w:lineRule="exact"/>
        <w:ind w:left="-142" w:right="142" w:firstLine="426"/>
        <w:jc w:val="right"/>
        <w:rPr>
          <w:rFonts w:ascii="Times New Roman" w:hAnsi="Times New Roman" w:cs="Times New Roman"/>
          <w:sz w:val="24"/>
          <w:szCs w:val="24"/>
        </w:rPr>
      </w:pPr>
    </w:p>
    <w:p w:rsidR="00BB12F1" w:rsidRDefault="00BB12F1" w:rsidP="00994A09">
      <w:pPr>
        <w:tabs>
          <w:tab w:val="left" w:pos="231"/>
        </w:tabs>
        <w:spacing w:line="190" w:lineRule="exact"/>
        <w:ind w:left="-142" w:right="142" w:firstLine="426"/>
        <w:jc w:val="right"/>
        <w:rPr>
          <w:rFonts w:ascii="Times New Roman" w:hAnsi="Times New Roman" w:cs="Times New Roman"/>
          <w:sz w:val="24"/>
          <w:szCs w:val="24"/>
        </w:rPr>
      </w:pPr>
    </w:p>
    <w:p w:rsidR="00BB12F1" w:rsidRDefault="00BB12F1" w:rsidP="00994A09">
      <w:pPr>
        <w:tabs>
          <w:tab w:val="left" w:pos="231"/>
        </w:tabs>
        <w:spacing w:line="190" w:lineRule="exact"/>
        <w:ind w:left="-142" w:right="142" w:firstLine="426"/>
        <w:jc w:val="right"/>
        <w:rPr>
          <w:rFonts w:ascii="Times New Roman" w:hAnsi="Times New Roman" w:cs="Times New Roman"/>
          <w:sz w:val="24"/>
          <w:szCs w:val="24"/>
        </w:rPr>
      </w:pPr>
    </w:p>
    <w:p w:rsidR="00BB12F1" w:rsidRDefault="00BB12F1" w:rsidP="00994A09">
      <w:pPr>
        <w:tabs>
          <w:tab w:val="left" w:pos="231"/>
        </w:tabs>
        <w:spacing w:line="190" w:lineRule="exact"/>
        <w:ind w:left="-142" w:right="142" w:firstLine="426"/>
        <w:jc w:val="right"/>
        <w:rPr>
          <w:rFonts w:ascii="Times New Roman" w:hAnsi="Times New Roman" w:cs="Times New Roman"/>
          <w:sz w:val="24"/>
          <w:szCs w:val="24"/>
        </w:rPr>
      </w:pPr>
    </w:p>
    <w:p w:rsidR="00BB12F1" w:rsidRDefault="00BB12F1" w:rsidP="00994A09">
      <w:pPr>
        <w:tabs>
          <w:tab w:val="left" w:pos="231"/>
        </w:tabs>
        <w:spacing w:line="190" w:lineRule="exact"/>
        <w:ind w:left="-142" w:right="142" w:firstLine="426"/>
        <w:jc w:val="right"/>
        <w:rPr>
          <w:rFonts w:ascii="Times New Roman" w:hAnsi="Times New Roman" w:cs="Times New Roman"/>
          <w:sz w:val="24"/>
          <w:szCs w:val="24"/>
        </w:rPr>
      </w:pPr>
    </w:p>
    <w:p w:rsidR="00BB12F1" w:rsidRDefault="00BB12F1" w:rsidP="00994A09">
      <w:pPr>
        <w:tabs>
          <w:tab w:val="left" w:pos="231"/>
        </w:tabs>
        <w:spacing w:line="190" w:lineRule="exact"/>
        <w:ind w:left="-142" w:right="142" w:firstLine="426"/>
        <w:jc w:val="right"/>
        <w:rPr>
          <w:rFonts w:ascii="Times New Roman" w:hAnsi="Times New Roman" w:cs="Times New Roman"/>
          <w:sz w:val="24"/>
          <w:szCs w:val="24"/>
        </w:rPr>
      </w:pPr>
    </w:p>
    <w:p w:rsidR="00BB12F1" w:rsidRDefault="00BB12F1"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BB12F1" w:rsidRDefault="00BB12F1" w:rsidP="00524234">
      <w:pPr>
        <w:rPr>
          <w:rFonts w:ascii="Times New Roman" w:eastAsia="Times New Roman" w:hAnsi="Times New Roman" w:cs="Times New Roman"/>
          <w:sz w:val="24"/>
          <w:szCs w:val="24"/>
        </w:rPr>
      </w:pPr>
    </w:p>
    <w:p w:rsidR="00BB12F1" w:rsidRPr="001B4074" w:rsidRDefault="00BB12F1"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F1124E" w:rsidRDefault="00F1124E" w:rsidP="00F1124E">
      <w:pPr>
        <w:autoSpaceDE w:val="0"/>
        <w:ind w:firstLine="567"/>
        <w:contextualSpacing/>
        <w:jc w:val="both"/>
        <w:rPr>
          <w:rFonts w:ascii="Times New Roman" w:eastAsia="DejaVu Sans" w:hAnsi="Times New Roman" w:cs="Times New Roman"/>
        </w:rPr>
      </w:pPr>
    </w:p>
    <w:p w:rsidR="00002A69" w:rsidRPr="00BA6A35" w:rsidRDefault="00002A69" w:rsidP="00002A69">
      <w:pPr>
        <w:jc w:val="center"/>
        <w:rPr>
          <w:rFonts w:ascii="Times New Roman" w:hAnsi="Times New Roman" w:cs="Times New Roman"/>
          <w:b/>
        </w:rPr>
      </w:pPr>
      <w:r w:rsidRPr="00BA6A35">
        <w:rPr>
          <w:rFonts w:ascii="Times New Roman" w:hAnsi="Times New Roman" w:cs="Times New Roman"/>
          <w:b/>
        </w:rPr>
        <w:t>Техническое задание</w:t>
      </w:r>
    </w:p>
    <w:p w:rsidR="00002A69" w:rsidRPr="009E5AD2" w:rsidRDefault="00002A69" w:rsidP="00002A69">
      <w:pPr>
        <w:suppressAutoHyphens/>
        <w:jc w:val="center"/>
        <w:rPr>
          <w:rFonts w:ascii="Times New Roman" w:eastAsia="Calibri" w:hAnsi="Times New Roman" w:cs="Calibri"/>
          <w:b/>
          <w:lang w:eastAsia="ar-SA"/>
        </w:rPr>
      </w:pPr>
      <w:r w:rsidRPr="009E5AD2">
        <w:rPr>
          <w:rFonts w:ascii="Times New Roman" w:eastAsia="Calibri" w:hAnsi="Times New Roman" w:cs="Calibri"/>
          <w:b/>
          <w:lang w:eastAsia="ar-SA"/>
        </w:rPr>
        <w:t>Запрос ценового предложения на приобретение</w:t>
      </w:r>
      <w:r>
        <w:rPr>
          <w:rFonts w:ascii="Times New Roman" w:eastAsia="Calibri" w:hAnsi="Times New Roman" w:cs="Calibri"/>
          <w:b/>
          <w:lang w:eastAsia="ar-SA"/>
        </w:rPr>
        <w:t xml:space="preserve"> быстроизнашивающихся деталей </w:t>
      </w:r>
      <w:r w:rsidRPr="00BC420B">
        <w:rPr>
          <w:rFonts w:ascii="Times New Roman" w:eastAsia="Calibri" w:hAnsi="Times New Roman" w:cs="Calibri"/>
          <w:b/>
          <w:lang w:eastAsia="ar-SA"/>
        </w:rPr>
        <w:t xml:space="preserve">к </w:t>
      </w:r>
      <w:r w:rsidRPr="00383641">
        <w:rPr>
          <w:rFonts w:ascii="Times New Roman" w:eastAsia="Calibri" w:hAnsi="Times New Roman" w:cs="Calibri"/>
          <w:b/>
          <w:lang w:eastAsia="ar-SA"/>
        </w:rPr>
        <w:t xml:space="preserve">сварочным горелкам MB EVO 36  </w:t>
      </w:r>
      <w:r w:rsidRPr="00C33281">
        <w:rPr>
          <w:rFonts w:ascii="Times New Roman" w:eastAsia="Calibri" w:hAnsi="Times New Roman" w:cs="Calibri"/>
          <w:b/>
          <w:lang w:eastAsia="ar-SA"/>
        </w:rPr>
        <w:t>для  фо</w:t>
      </w:r>
      <w:r>
        <w:rPr>
          <w:rFonts w:ascii="Times New Roman" w:eastAsia="Calibri" w:hAnsi="Times New Roman" w:cs="Calibri"/>
          <w:b/>
          <w:lang w:eastAsia="ar-SA"/>
        </w:rPr>
        <w:t>рмирования корпуса заказ зав. №5</w:t>
      </w:r>
      <w:r w:rsidRPr="00C33281">
        <w:rPr>
          <w:rFonts w:ascii="Times New Roman" w:eastAsia="Calibri" w:hAnsi="Times New Roman" w:cs="Calibri"/>
          <w:b/>
          <w:lang w:eastAsia="ar-SA"/>
        </w:rPr>
        <w:t>01.</w:t>
      </w:r>
    </w:p>
    <w:tbl>
      <w:tblPr>
        <w:tblStyle w:val="a3"/>
        <w:tblW w:w="10206" w:type="dxa"/>
        <w:tblInd w:w="-459" w:type="dxa"/>
        <w:tblLayout w:type="fixed"/>
        <w:tblLook w:val="04A0" w:firstRow="1" w:lastRow="0" w:firstColumn="1" w:lastColumn="0" w:noHBand="0" w:noVBand="1"/>
      </w:tblPr>
      <w:tblGrid>
        <w:gridCol w:w="2268"/>
        <w:gridCol w:w="7938"/>
      </w:tblGrid>
      <w:tr w:rsidR="00002A69" w:rsidTr="003676CC">
        <w:trPr>
          <w:trHeight w:val="763"/>
        </w:trPr>
        <w:tc>
          <w:tcPr>
            <w:tcW w:w="2268" w:type="dxa"/>
          </w:tcPr>
          <w:p w:rsidR="00002A69" w:rsidRPr="00BA6A35" w:rsidRDefault="00002A69" w:rsidP="003676CC">
            <w:pPr>
              <w:contextualSpacing/>
              <w:jc w:val="both"/>
              <w:rPr>
                <w:rFonts w:ascii="Times New Roman" w:hAnsi="Times New Roman" w:cs="Times New Roman"/>
              </w:rPr>
            </w:pPr>
            <w:r>
              <w:rPr>
                <w:rFonts w:ascii="Times New Roman" w:hAnsi="Times New Roman" w:cs="Times New Roman"/>
              </w:rPr>
              <w:t>1</w:t>
            </w:r>
            <w:r>
              <w:rPr>
                <w:rFonts w:ascii="Times New Roman" w:hAnsi="Times New Roman" w:cs="Times New Roman"/>
              </w:rPr>
              <w:t>.1.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7938" w:type="dxa"/>
          </w:tcPr>
          <w:p w:rsidR="00002A69" w:rsidRPr="0061268C" w:rsidRDefault="00002A69" w:rsidP="003676CC">
            <w:pPr>
              <w:contextualSpacing/>
              <w:jc w:val="both"/>
              <w:rPr>
                <w:rFonts w:ascii="Times New Roman" w:hAnsi="Times New Roman" w:cs="Times New Roman"/>
                <w:i/>
              </w:rPr>
            </w:pPr>
            <w:r w:rsidRPr="00600FDE">
              <w:rPr>
                <w:rFonts w:ascii="Times New Roman" w:hAnsi="Times New Roman" w:cs="Times New Roman"/>
                <w:color w:val="000000" w:themeColor="text1"/>
              </w:rPr>
              <w:t>Приобретение быстроизнашивающихся деталей</w:t>
            </w:r>
            <w:r>
              <w:t xml:space="preserve"> </w:t>
            </w:r>
            <w:r>
              <w:rPr>
                <w:rFonts w:ascii="Times New Roman" w:hAnsi="Times New Roman" w:cs="Times New Roman"/>
                <w:color w:val="000000" w:themeColor="text1"/>
              </w:rPr>
              <w:t xml:space="preserve">к </w:t>
            </w:r>
            <w:r w:rsidRPr="00383641">
              <w:rPr>
                <w:rFonts w:ascii="Times New Roman" w:hAnsi="Times New Roman" w:cs="Times New Roman"/>
                <w:color w:val="000000" w:themeColor="text1"/>
              </w:rPr>
              <w:t xml:space="preserve">сварочным горелкам MB EVO 36  </w:t>
            </w:r>
            <w:r w:rsidRPr="00600FDE">
              <w:rPr>
                <w:rFonts w:ascii="Times New Roman" w:hAnsi="Times New Roman" w:cs="Times New Roman"/>
                <w:color w:val="000000" w:themeColor="text1"/>
              </w:rPr>
              <w:t xml:space="preserve">, для нужд предприятия  </w:t>
            </w:r>
            <w:r w:rsidRPr="00A64845">
              <w:rPr>
                <w:rFonts w:ascii="Times New Roman" w:hAnsi="Times New Roman" w:cs="Times New Roman"/>
                <w:color w:val="000000" w:themeColor="text1"/>
              </w:rPr>
              <w:t>в</w:t>
            </w:r>
            <w:r w:rsidRPr="00946FDA">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Pr>
                <w:rFonts w:ascii="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002A69" w:rsidTr="003676CC">
        <w:tc>
          <w:tcPr>
            <w:tcW w:w="2268" w:type="dxa"/>
          </w:tcPr>
          <w:p w:rsidR="00002A69" w:rsidRDefault="00002A69" w:rsidP="003676CC">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7938" w:type="dxa"/>
          </w:tcPr>
          <w:p w:rsidR="00002A69" w:rsidRPr="009E5AD2" w:rsidRDefault="00002A69" w:rsidP="003676CC">
            <w:pPr>
              <w:contextualSpacing/>
              <w:jc w:val="both"/>
              <w:rPr>
                <w:rFonts w:ascii="Times New Roman" w:hAnsi="Times New Roman" w:cs="Times New Roman"/>
              </w:rPr>
            </w:pPr>
            <w:r w:rsidRPr="009E5AD2">
              <w:rPr>
                <w:rFonts w:ascii="Times New Roman" w:hAnsi="Times New Roman" w:cs="Times New Roman"/>
              </w:rPr>
              <w:t xml:space="preserve">Ведомость </w:t>
            </w:r>
            <w:proofErr w:type="spellStart"/>
            <w:r w:rsidRPr="009E5AD2">
              <w:rPr>
                <w:rFonts w:ascii="Times New Roman" w:hAnsi="Times New Roman" w:cs="Times New Roman"/>
              </w:rPr>
              <w:t>быстроизнашивающтхся</w:t>
            </w:r>
            <w:proofErr w:type="spellEnd"/>
            <w:r w:rsidRPr="009E5AD2">
              <w:rPr>
                <w:rFonts w:ascii="Times New Roman" w:hAnsi="Times New Roman" w:cs="Times New Roman"/>
              </w:rPr>
              <w:t xml:space="preserve">  деталей  к сварочн</w:t>
            </w:r>
            <w:r>
              <w:rPr>
                <w:rFonts w:ascii="Times New Roman" w:hAnsi="Times New Roman" w:cs="Times New Roman"/>
              </w:rPr>
              <w:t xml:space="preserve">ому и </w:t>
            </w:r>
            <w:proofErr w:type="spellStart"/>
            <w:r>
              <w:rPr>
                <w:rFonts w:ascii="Times New Roman" w:hAnsi="Times New Roman" w:cs="Times New Roman"/>
              </w:rPr>
              <w:t>газорежущему</w:t>
            </w:r>
            <w:proofErr w:type="spellEnd"/>
            <w:r>
              <w:rPr>
                <w:rFonts w:ascii="Times New Roman" w:hAnsi="Times New Roman" w:cs="Times New Roman"/>
              </w:rPr>
              <w:t xml:space="preserve"> оборудованию.</w:t>
            </w:r>
          </w:p>
          <w:p w:rsidR="00002A69" w:rsidRPr="0061268C" w:rsidRDefault="00002A69" w:rsidP="003676CC">
            <w:pPr>
              <w:rPr>
                <w:rFonts w:ascii="Times New Roman" w:hAnsi="Times New Roman" w:cs="Times New Roman"/>
                <w:i/>
              </w:rPr>
            </w:pPr>
          </w:p>
        </w:tc>
      </w:tr>
      <w:tr w:rsidR="00002A69" w:rsidTr="003676CC">
        <w:tc>
          <w:tcPr>
            <w:tcW w:w="2268" w:type="dxa"/>
          </w:tcPr>
          <w:p w:rsidR="00002A69" w:rsidRDefault="00002A69" w:rsidP="003676CC">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7938" w:type="dxa"/>
          </w:tcPr>
          <w:p w:rsidR="00002A69" w:rsidRPr="00946FDA" w:rsidRDefault="00002A69" w:rsidP="003676CC">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002A69" w:rsidTr="003676CC">
        <w:tc>
          <w:tcPr>
            <w:tcW w:w="2268" w:type="dxa"/>
          </w:tcPr>
          <w:p w:rsidR="00002A69" w:rsidRPr="00BA6A35" w:rsidRDefault="00002A69" w:rsidP="003676CC">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7938" w:type="dxa"/>
          </w:tcPr>
          <w:p w:rsidR="00002A69" w:rsidRPr="00946FDA" w:rsidRDefault="00002A69" w:rsidP="003676CC">
            <w:pPr>
              <w:contextualSpacing/>
              <w:jc w:val="both"/>
              <w:rPr>
                <w:rFonts w:ascii="Times New Roman" w:hAnsi="Times New Roman" w:cs="Times New Roman"/>
              </w:rPr>
            </w:pPr>
            <w:r w:rsidRPr="00B847D0">
              <w:rPr>
                <w:rFonts w:ascii="Times New Roman" w:hAnsi="Times New Roman" w:cs="Times New Roman"/>
              </w:rPr>
              <w:t xml:space="preserve">В течение </w:t>
            </w:r>
            <w:r>
              <w:rPr>
                <w:rFonts w:ascii="Times New Roman" w:hAnsi="Times New Roman" w:cs="Times New Roman"/>
              </w:rPr>
              <w:t>3</w:t>
            </w:r>
            <w:r w:rsidRPr="00B847D0">
              <w:rPr>
                <w:rFonts w:ascii="Times New Roman" w:hAnsi="Times New Roman" w:cs="Times New Roman"/>
              </w:rPr>
              <w:t>0 (</w:t>
            </w:r>
            <w:r>
              <w:rPr>
                <w:rFonts w:ascii="Times New Roman" w:hAnsi="Times New Roman" w:cs="Times New Roman"/>
              </w:rPr>
              <w:t>тридцать</w:t>
            </w:r>
            <w:r w:rsidRPr="00B847D0">
              <w:rPr>
                <w:rFonts w:ascii="Times New Roman" w:hAnsi="Times New Roman" w:cs="Times New Roman"/>
              </w:rPr>
              <w:t xml:space="preserve">) календарных дней с момента оплаты авансового платежа в размере </w:t>
            </w:r>
            <w:r>
              <w:rPr>
                <w:rFonts w:ascii="Times New Roman" w:hAnsi="Times New Roman" w:cs="Times New Roman"/>
              </w:rPr>
              <w:t>80</w:t>
            </w:r>
            <w:r w:rsidRPr="00B847D0">
              <w:rPr>
                <w:rFonts w:ascii="Times New Roman" w:hAnsi="Times New Roman" w:cs="Times New Roman"/>
              </w:rPr>
              <w:t>%.</w:t>
            </w:r>
          </w:p>
        </w:tc>
      </w:tr>
      <w:tr w:rsidR="00002A69" w:rsidTr="003676CC">
        <w:tc>
          <w:tcPr>
            <w:tcW w:w="2268" w:type="dxa"/>
          </w:tcPr>
          <w:p w:rsidR="00002A69" w:rsidRDefault="00002A69" w:rsidP="003676CC">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7938" w:type="dxa"/>
          </w:tcPr>
          <w:p w:rsidR="00002A69" w:rsidRPr="0061268C" w:rsidRDefault="00002A69" w:rsidP="003676CC">
            <w:pPr>
              <w:contextualSpacing/>
              <w:jc w:val="both"/>
              <w:rPr>
                <w:rFonts w:ascii="Times New Roman" w:hAnsi="Times New Roman" w:cs="Times New Roman"/>
                <w:i/>
              </w:rPr>
            </w:pPr>
            <w:r>
              <w:rPr>
                <w:rFonts w:ascii="Times New Roman" w:hAnsi="Times New Roman" w:cs="Times New Roman"/>
              </w:rPr>
              <w:t>О</w:t>
            </w:r>
            <w:r w:rsidRPr="009E5AD2">
              <w:rPr>
                <w:rFonts w:ascii="Times New Roman" w:hAnsi="Times New Roman" w:cs="Times New Roman"/>
              </w:rPr>
              <w:t>ригиналы товарных накладных, ТТН, счетов-фактур (УПД).</w:t>
            </w:r>
          </w:p>
        </w:tc>
      </w:tr>
      <w:tr w:rsidR="00002A69" w:rsidTr="003676CC">
        <w:tc>
          <w:tcPr>
            <w:tcW w:w="2268" w:type="dxa"/>
          </w:tcPr>
          <w:p w:rsidR="00002A69" w:rsidRDefault="00002A69" w:rsidP="003676CC">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7938" w:type="dxa"/>
          </w:tcPr>
          <w:p w:rsidR="00002A69" w:rsidRPr="00946FDA" w:rsidRDefault="00002A69" w:rsidP="003676CC">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bl>
    <w:p w:rsidR="00002A69" w:rsidRDefault="00002A69" w:rsidP="00002A69">
      <w:pPr>
        <w:contextualSpacing/>
        <w:jc w:val="both"/>
        <w:rPr>
          <w:rFonts w:ascii="Times New Roman" w:hAnsi="Times New Roman" w:cs="Times New Roman"/>
        </w:rPr>
      </w:pPr>
    </w:p>
    <w:p w:rsidR="00002A69" w:rsidRPr="00BA6A35" w:rsidRDefault="00002A69" w:rsidP="00002A69">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10"/>
        <w:gridCol w:w="12"/>
        <w:gridCol w:w="1417"/>
      </w:tblGrid>
      <w:tr w:rsidR="00002A69" w:rsidRPr="008E77AF" w:rsidTr="00002A69">
        <w:trPr>
          <w:trHeight w:val="564"/>
        </w:trPr>
        <w:tc>
          <w:tcPr>
            <w:tcW w:w="567" w:type="dxa"/>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p>
          <w:p w:rsidR="00002A69" w:rsidRPr="008E77AF" w:rsidRDefault="00002A69" w:rsidP="003676CC">
            <w:pPr>
              <w:suppressAutoHyphens/>
              <w:jc w:val="both"/>
              <w:rPr>
                <w:rFonts w:ascii="Times New Roman" w:eastAsia="Calibri" w:hAnsi="Times New Roman" w:cs="Calibri"/>
                <w:lang w:eastAsia="ar-SA"/>
              </w:rPr>
            </w:pPr>
            <w:r w:rsidRPr="008E77AF">
              <w:rPr>
                <w:rFonts w:ascii="Times New Roman" w:eastAsia="Calibri" w:hAnsi="Times New Roman" w:cs="Calibri"/>
                <w:b/>
                <w:lang w:eastAsia="ar-SA"/>
              </w:rPr>
              <w:t>№</w:t>
            </w:r>
          </w:p>
        </w:tc>
        <w:tc>
          <w:tcPr>
            <w:tcW w:w="8222" w:type="dxa"/>
            <w:gridSpan w:val="2"/>
            <w:shd w:val="clear" w:color="auto" w:fill="auto"/>
            <w:vAlign w:val="center"/>
          </w:tcPr>
          <w:p w:rsidR="00002A69" w:rsidRPr="008E77AF" w:rsidRDefault="00002A69" w:rsidP="003676CC">
            <w:pPr>
              <w:suppressAutoHyphens/>
              <w:ind w:left="167"/>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Наименование материала</w:t>
            </w:r>
          </w:p>
        </w:tc>
        <w:tc>
          <w:tcPr>
            <w:tcW w:w="1417" w:type="dxa"/>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Кол-во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шт.</w:t>
            </w:r>
          </w:p>
        </w:tc>
      </w:tr>
      <w:tr w:rsidR="00002A69" w:rsidRPr="008E77AF" w:rsidTr="003676CC">
        <w:trPr>
          <w:trHeight w:val="220"/>
        </w:trPr>
        <w:tc>
          <w:tcPr>
            <w:tcW w:w="567" w:type="dxa"/>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w:t>
            </w:r>
            <w:r w:rsidRPr="008E77AF">
              <w:rPr>
                <w:rFonts w:ascii="Times New Roman" w:eastAsia="Calibri" w:hAnsi="Times New Roman" w:cs="Calibri"/>
                <w:lang w:eastAsia="ar-SA"/>
              </w:rPr>
              <w:t>1.</w:t>
            </w:r>
          </w:p>
        </w:tc>
        <w:tc>
          <w:tcPr>
            <w:tcW w:w="8222" w:type="dxa"/>
            <w:gridSpan w:val="2"/>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r w:rsidRPr="00383641">
              <w:rPr>
                <w:rFonts w:ascii="Times New Roman" w:eastAsia="Calibri" w:hAnsi="Times New Roman" w:cs="Calibri"/>
                <w:lang w:eastAsia="ar-SA"/>
              </w:rPr>
              <w:t xml:space="preserve">Наконечник М8/10/30 /ø1,2 </w:t>
            </w:r>
            <w:proofErr w:type="spellStart"/>
            <w:r w:rsidRPr="00383641">
              <w:rPr>
                <w:rFonts w:ascii="Times New Roman" w:eastAsia="Calibri" w:hAnsi="Times New Roman" w:cs="Calibri"/>
                <w:lang w:eastAsia="ar-SA"/>
              </w:rPr>
              <w:t>Сu</w:t>
            </w:r>
            <w:proofErr w:type="spellEnd"/>
            <w:r w:rsidRPr="00383641">
              <w:rPr>
                <w:rFonts w:ascii="Times New Roman" w:eastAsia="Calibri" w:hAnsi="Times New Roman" w:cs="Calibri"/>
                <w:lang w:eastAsia="ar-SA"/>
              </w:rPr>
              <w:t>(</w:t>
            </w:r>
            <w:proofErr w:type="spellStart"/>
            <w:r w:rsidRPr="00383641">
              <w:rPr>
                <w:rFonts w:ascii="Times New Roman" w:eastAsia="Calibri" w:hAnsi="Times New Roman" w:cs="Calibri"/>
                <w:lang w:eastAsia="ar-SA"/>
              </w:rPr>
              <w:t>Еurostar</w:t>
            </w:r>
            <w:proofErr w:type="spellEnd"/>
            <w:r w:rsidRPr="00383641">
              <w:rPr>
                <w:rFonts w:ascii="Times New Roman" w:eastAsia="Calibri" w:hAnsi="Times New Roman" w:cs="Calibri"/>
                <w:lang w:eastAsia="ar-SA"/>
              </w:rPr>
              <w:t>) 4014-12 или Наконечник М8х30 E-Cuø1,2мм (PARKER) PB4014-12 или Наконечник М8х30 E-CUø1,2мм KR2110442 (компания КЕМП) или М8/30/1.2 мм арт. 6097 (</w:t>
            </w:r>
            <w:proofErr w:type="spellStart"/>
            <w:r w:rsidRPr="00383641">
              <w:rPr>
                <w:rFonts w:ascii="Times New Roman" w:eastAsia="Calibri" w:hAnsi="Times New Roman" w:cs="Calibri"/>
                <w:lang w:eastAsia="ar-SA"/>
              </w:rPr>
              <w:t>Fox</w:t>
            </w:r>
            <w:proofErr w:type="spellEnd"/>
            <w:r w:rsidRPr="00383641">
              <w:rPr>
                <w:rFonts w:ascii="Times New Roman" w:eastAsia="Calibri" w:hAnsi="Times New Roman" w:cs="Calibri"/>
                <w:lang w:eastAsia="ar-SA"/>
              </w:rPr>
              <w:t xml:space="preserve"> </w:t>
            </w:r>
            <w:proofErr w:type="spellStart"/>
            <w:r w:rsidRPr="00383641">
              <w:rPr>
                <w:rFonts w:ascii="Times New Roman" w:eastAsia="Calibri" w:hAnsi="Times New Roman" w:cs="Calibri"/>
                <w:lang w:eastAsia="ar-SA"/>
              </w:rPr>
              <w:t>Weld</w:t>
            </w:r>
            <w:proofErr w:type="spellEnd"/>
            <w:r w:rsidRPr="00383641">
              <w:rPr>
                <w:rFonts w:ascii="Times New Roman" w:eastAsia="Calibri" w:hAnsi="Times New Roman" w:cs="Calibri"/>
                <w:lang w:eastAsia="ar-SA"/>
              </w:rPr>
              <w:t>) или  наконечник M8 ф</w:t>
            </w:r>
            <w:proofErr w:type="gramStart"/>
            <w:r w:rsidRPr="00383641">
              <w:rPr>
                <w:rFonts w:ascii="Times New Roman" w:eastAsia="Calibri" w:hAnsi="Times New Roman" w:cs="Calibri"/>
                <w:lang w:eastAsia="ar-SA"/>
              </w:rPr>
              <w:t>1</w:t>
            </w:r>
            <w:proofErr w:type="gramEnd"/>
            <w:r w:rsidRPr="00383641">
              <w:rPr>
                <w:rFonts w:ascii="Times New Roman" w:eastAsia="Calibri" w:hAnsi="Times New Roman" w:cs="Calibri"/>
                <w:lang w:eastAsia="ar-SA"/>
              </w:rPr>
              <w:t xml:space="preserve">,2 L30 </w:t>
            </w:r>
            <w:proofErr w:type="spellStart"/>
            <w:r w:rsidRPr="00383641">
              <w:rPr>
                <w:rFonts w:ascii="Times New Roman" w:eastAsia="Calibri" w:hAnsi="Times New Roman" w:cs="Calibri"/>
                <w:lang w:eastAsia="ar-SA"/>
              </w:rPr>
              <w:t>Cu</w:t>
            </w:r>
            <w:proofErr w:type="spellEnd"/>
            <w:r w:rsidRPr="00383641">
              <w:rPr>
                <w:rFonts w:ascii="Times New Roman" w:eastAsia="Calibri" w:hAnsi="Times New Roman" w:cs="Calibri"/>
                <w:lang w:eastAsia="ar-SA"/>
              </w:rPr>
              <w:t xml:space="preserve">  SV140.0442 (ООО «СВАРТ»</w:t>
            </w:r>
          </w:p>
        </w:tc>
        <w:tc>
          <w:tcPr>
            <w:tcW w:w="1417" w:type="dxa"/>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w:t>
            </w:r>
          </w:p>
          <w:p w:rsidR="00002A69" w:rsidRPr="008E77AF"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10 000,00</w:t>
            </w:r>
          </w:p>
        </w:tc>
      </w:tr>
      <w:tr w:rsidR="00002A69" w:rsidRPr="008E77AF" w:rsidTr="003676CC">
        <w:trPr>
          <w:trHeight w:val="220"/>
        </w:trPr>
        <w:tc>
          <w:tcPr>
            <w:tcW w:w="567" w:type="dxa"/>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2.</w:t>
            </w:r>
          </w:p>
        </w:tc>
        <w:tc>
          <w:tcPr>
            <w:tcW w:w="8222" w:type="dxa"/>
            <w:gridSpan w:val="2"/>
            <w:shd w:val="clear" w:color="auto" w:fill="auto"/>
            <w:vAlign w:val="center"/>
          </w:tcPr>
          <w:p w:rsidR="00002A69" w:rsidRPr="00B81F6C" w:rsidRDefault="00002A69" w:rsidP="003676CC">
            <w:pPr>
              <w:suppressAutoHyphens/>
              <w:jc w:val="both"/>
              <w:rPr>
                <w:rFonts w:ascii="Times New Roman" w:eastAsia="Calibri" w:hAnsi="Times New Roman" w:cs="Calibri"/>
                <w:lang w:eastAsia="ar-SA"/>
              </w:rPr>
            </w:pPr>
            <w:r w:rsidRPr="00383641">
              <w:rPr>
                <w:rFonts w:ascii="Times New Roman" w:eastAsia="Calibri" w:hAnsi="Times New Roman" w:cs="Calibri"/>
                <w:lang w:eastAsia="ar-SA"/>
              </w:rPr>
              <w:t>Вставка-держатель наконечникаМ8/М8/28мм (</w:t>
            </w:r>
            <w:proofErr w:type="spellStart"/>
            <w:proofErr w:type="gramStart"/>
            <w:r w:rsidRPr="00383641">
              <w:rPr>
                <w:rFonts w:ascii="Times New Roman" w:eastAsia="Calibri" w:hAnsi="Times New Roman" w:cs="Calibri"/>
                <w:lang w:eastAsia="ar-SA"/>
              </w:rPr>
              <w:t>Е</w:t>
            </w:r>
            <w:proofErr w:type="gramEnd"/>
            <w:r w:rsidRPr="00383641">
              <w:rPr>
                <w:rFonts w:ascii="Times New Roman" w:eastAsia="Calibri" w:hAnsi="Times New Roman" w:cs="Calibri"/>
                <w:lang w:eastAsia="ar-SA"/>
              </w:rPr>
              <w:t>urostar</w:t>
            </w:r>
            <w:proofErr w:type="spellEnd"/>
            <w:r w:rsidRPr="00383641">
              <w:rPr>
                <w:rFonts w:ascii="Times New Roman" w:eastAsia="Calibri" w:hAnsi="Times New Roman" w:cs="Calibri"/>
                <w:lang w:eastAsia="ar-SA"/>
              </w:rPr>
              <w:t>) 3614  или  PARKER M8. 28.5 (PB3614) или  Вставка-держатель М8 для наконечника KR2140020 (компания КЕМП) или 7160003 М8 (Кедр) или М8 арт. 2885 (</w:t>
            </w:r>
            <w:proofErr w:type="spellStart"/>
            <w:r w:rsidRPr="00383641">
              <w:rPr>
                <w:rFonts w:ascii="Times New Roman" w:eastAsia="Calibri" w:hAnsi="Times New Roman" w:cs="Calibri"/>
                <w:lang w:eastAsia="ar-SA"/>
              </w:rPr>
              <w:t>Fox</w:t>
            </w:r>
            <w:proofErr w:type="spellEnd"/>
            <w:r w:rsidRPr="00383641">
              <w:rPr>
                <w:rFonts w:ascii="Times New Roman" w:eastAsia="Calibri" w:hAnsi="Times New Roman" w:cs="Calibri"/>
                <w:lang w:eastAsia="ar-SA"/>
              </w:rPr>
              <w:t xml:space="preserve"> </w:t>
            </w:r>
            <w:proofErr w:type="spellStart"/>
            <w:r w:rsidRPr="00383641">
              <w:rPr>
                <w:rFonts w:ascii="Times New Roman" w:eastAsia="Calibri" w:hAnsi="Times New Roman" w:cs="Calibri"/>
                <w:lang w:eastAsia="ar-SA"/>
              </w:rPr>
              <w:t>Weld</w:t>
            </w:r>
            <w:proofErr w:type="spellEnd"/>
            <w:r w:rsidRPr="00383641">
              <w:rPr>
                <w:rFonts w:ascii="Times New Roman" w:eastAsia="Calibri" w:hAnsi="Times New Roman" w:cs="Calibri"/>
                <w:lang w:eastAsia="ar-SA"/>
              </w:rPr>
              <w:t>) или вставка  контактного наконечника M8/М8/28 мм (36KD) SV142.0020 (ООО «СВАРТ»</w:t>
            </w:r>
          </w:p>
        </w:tc>
        <w:tc>
          <w:tcPr>
            <w:tcW w:w="1417" w:type="dxa"/>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1 500,00</w:t>
            </w:r>
          </w:p>
        </w:tc>
      </w:tr>
      <w:tr w:rsidR="00002A69" w:rsidRPr="008E77AF" w:rsidTr="003676CC">
        <w:trPr>
          <w:trHeight w:val="220"/>
        </w:trPr>
        <w:tc>
          <w:tcPr>
            <w:tcW w:w="567" w:type="dxa"/>
            <w:shd w:val="clear" w:color="auto" w:fill="auto"/>
            <w:vAlign w:val="center"/>
          </w:tcPr>
          <w:p w:rsidR="00002A69"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3.</w:t>
            </w:r>
          </w:p>
        </w:tc>
        <w:tc>
          <w:tcPr>
            <w:tcW w:w="8222" w:type="dxa"/>
            <w:gridSpan w:val="2"/>
            <w:shd w:val="clear" w:color="auto" w:fill="auto"/>
            <w:vAlign w:val="center"/>
          </w:tcPr>
          <w:p w:rsidR="00002A69" w:rsidRPr="00B81F6C" w:rsidRDefault="00002A69" w:rsidP="003676CC">
            <w:pPr>
              <w:suppressAutoHyphens/>
              <w:jc w:val="both"/>
              <w:rPr>
                <w:rFonts w:ascii="Times New Roman" w:eastAsia="Calibri" w:hAnsi="Times New Roman" w:cs="Calibri"/>
                <w:lang w:eastAsia="ar-SA"/>
              </w:rPr>
            </w:pPr>
            <w:proofErr w:type="spellStart"/>
            <w:r w:rsidRPr="00383641">
              <w:rPr>
                <w:rFonts w:ascii="Times New Roman" w:eastAsia="Calibri" w:hAnsi="Times New Roman" w:cs="Calibri"/>
                <w:lang w:eastAsia="ar-SA"/>
              </w:rPr>
              <w:t>Газораспределитель</w:t>
            </w:r>
            <w:proofErr w:type="spellEnd"/>
            <w:r w:rsidRPr="00383641">
              <w:rPr>
                <w:rFonts w:ascii="Times New Roman" w:eastAsia="Calibri" w:hAnsi="Times New Roman" w:cs="Calibri"/>
                <w:lang w:eastAsia="ar-SA"/>
              </w:rPr>
              <w:t xml:space="preserve"> (</w:t>
            </w:r>
            <w:proofErr w:type="spellStart"/>
            <w:r w:rsidRPr="00383641">
              <w:rPr>
                <w:rFonts w:ascii="Times New Roman" w:eastAsia="Calibri" w:hAnsi="Times New Roman" w:cs="Calibri"/>
                <w:lang w:eastAsia="ar-SA"/>
              </w:rPr>
              <w:t>диффузер</w:t>
            </w:r>
            <w:proofErr w:type="spellEnd"/>
            <w:r w:rsidRPr="00383641">
              <w:rPr>
                <w:rFonts w:ascii="Times New Roman" w:eastAsia="Calibri" w:hAnsi="Times New Roman" w:cs="Calibri"/>
                <w:lang w:eastAsia="ar-SA"/>
              </w:rPr>
              <w:t>)  особо – стойкий 014.0026 или (PARKER) PB3605H или керамический 8004133 (Кедр) или арт. 2906 (</w:t>
            </w:r>
            <w:proofErr w:type="spellStart"/>
            <w:r w:rsidRPr="00383641">
              <w:rPr>
                <w:rFonts w:ascii="Times New Roman" w:eastAsia="Calibri" w:hAnsi="Times New Roman" w:cs="Calibri"/>
                <w:lang w:eastAsia="ar-SA"/>
              </w:rPr>
              <w:t>Fox</w:t>
            </w:r>
            <w:proofErr w:type="spellEnd"/>
            <w:r w:rsidRPr="00383641">
              <w:rPr>
                <w:rFonts w:ascii="Times New Roman" w:eastAsia="Calibri" w:hAnsi="Times New Roman" w:cs="Calibri"/>
                <w:lang w:eastAsia="ar-SA"/>
              </w:rPr>
              <w:t xml:space="preserve"> </w:t>
            </w:r>
            <w:proofErr w:type="spellStart"/>
            <w:r w:rsidRPr="00383641">
              <w:rPr>
                <w:rFonts w:ascii="Times New Roman" w:eastAsia="Calibri" w:hAnsi="Times New Roman" w:cs="Calibri"/>
                <w:lang w:eastAsia="ar-SA"/>
              </w:rPr>
              <w:t>Weld</w:t>
            </w:r>
            <w:proofErr w:type="spellEnd"/>
            <w:r w:rsidRPr="00383641">
              <w:rPr>
                <w:rFonts w:ascii="Times New Roman" w:eastAsia="Calibri" w:hAnsi="Times New Roman" w:cs="Calibri"/>
                <w:lang w:eastAsia="ar-SA"/>
              </w:rPr>
              <w:t>) диффузор 36 KD L32,5мм (особо стойкий) SV014.0021 ООО «СВАРТ»</w:t>
            </w:r>
          </w:p>
        </w:tc>
        <w:tc>
          <w:tcPr>
            <w:tcW w:w="1417" w:type="dxa"/>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3 000,00</w:t>
            </w:r>
          </w:p>
        </w:tc>
      </w:tr>
      <w:tr w:rsidR="00002A69" w:rsidRPr="008E77AF" w:rsidTr="003676CC">
        <w:trPr>
          <w:trHeight w:val="220"/>
        </w:trPr>
        <w:tc>
          <w:tcPr>
            <w:tcW w:w="567" w:type="dxa"/>
            <w:shd w:val="clear" w:color="auto" w:fill="auto"/>
            <w:vAlign w:val="center"/>
          </w:tcPr>
          <w:p w:rsidR="00002A69"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4.</w:t>
            </w:r>
          </w:p>
        </w:tc>
        <w:tc>
          <w:tcPr>
            <w:tcW w:w="8222" w:type="dxa"/>
            <w:gridSpan w:val="2"/>
            <w:shd w:val="clear" w:color="auto" w:fill="auto"/>
            <w:vAlign w:val="center"/>
          </w:tcPr>
          <w:p w:rsidR="00002A69" w:rsidRPr="00B81F6C" w:rsidRDefault="00002A69" w:rsidP="003676CC">
            <w:pPr>
              <w:suppressAutoHyphens/>
              <w:jc w:val="both"/>
              <w:rPr>
                <w:rFonts w:ascii="Times New Roman" w:eastAsia="Calibri" w:hAnsi="Times New Roman" w:cs="Calibri"/>
                <w:lang w:eastAsia="ar-SA"/>
              </w:rPr>
            </w:pPr>
            <w:r w:rsidRPr="00383641">
              <w:rPr>
                <w:rFonts w:ascii="Times New Roman" w:eastAsia="Calibri" w:hAnsi="Times New Roman" w:cs="Calibri"/>
                <w:lang w:eastAsia="ar-SA"/>
              </w:rPr>
              <w:t>Сопло газовое Ø16,0/84,0мм  ЕSR36 KD (</w:t>
            </w:r>
            <w:proofErr w:type="spellStart"/>
            <w:proofErr w:type="gramStart"/>
            <w:r w:rsidRPr="00383641">
              <w:rPr>
                <w:rFonts w:ascii="Times New Roman" w:eastAsia="Calibri" w:hAnsi="Times New Roman" w:cs="Calibri"/>
                <w:lang w:eastAsia="ar-SA"/>
              </w:rPr>
              <w:t>Е</w:t>
            </w:r>
            <w:proofErr w:type="gramEnd"/>
            <w:r w:rsidRPr="00383641">
              <w:rPr>
                <w:rFonts w:ascii="Times New Roman" w:eastAsia="Calibri" w:hAnsi="Times New Roman" w:cs="Calibri"/>
                <w:lang w:eastAsia="ar-SA"/>
              </w:rPr>
              <w:t>urostar</w:t>
            </w:r>
            <w:proofErr w:type="spellEnd"/>
            <w:r w:rsidRPr="00383641">
              <w:rPr>
                <w:rFonts w:ascii="Times New Roman" w:eastAsia="Calibri" w:hAnsi="Times New Roman" w:cs="Calibri"/>
                <w:lang w:eastAsia="ar-SA"/>
              </w:rPr>
              <w:t>) 3616 или   сопло коническое ф16,0/83,2мм(PARKER) PB3616. или Сопло коническое Ø16 KR52130078 (компания КЕМП) или 7160067 MIG PRO (Кедр) или MIG 36 арт. 2847 (</w:t>
            </w:r>
            <w:proofErr w:type="spellStart"/>
            <w:r w:rsidRPr="00383641">
              <w:rPr>
                <w:rFonts w:ascii="Times New Roman" w:eastAsia="Calibri" w:hAnsi="Times New Roman" w:cs="Calibri"/>
                <w:lang w:eastAsia="ar-SA"/>
              </w:rPr>
              <w:t>Fox</w:t>
            </w:r>
            <w:proofErr w:type="spellEnd"/>
            <w:r w:rsidRPr="00383641">
              <w:rPr>
                <w:rFonts w:ascii="Times New Roman" w:eastAsia="Calibri" w:hAnsi="Times New Roman" w:cs="Calibri"/>
                <w:lang w:eastAsia="ar-SA"/>
              </w:rPr>
              <w:t xml:space="preserve"> </w:t>
            </w:r>
            <w:proofErr w:type="spellStart"/>
            <w:r w:rsidRPr="00383641">
              <w:rPr>
                <w:rFonts w:ascii="Times New Roman" w:eastAsia="Calibri" w:hAnsi="Times New Roman" w:cs="Calibri"/>
                <w:lang w:eastAsia="ar-SA"/>
              </w:rPr>
              <w:t>Weld</w:t>
            </w:r>
            <w:proofErr w:type="spellEnd"/>
            <w:r w:rsidRPr="00383641">
              <w:rPr>
                <w:rFonts w:ascii="Times New Roman" w:eastAsia="Calibri" w:hAnsi="Times New Roman" w:cs="Calibri"/>
                <w:lang w:eastAsia="ar-SA"/>
              </w:rPr>
              <w:t>) или  Газовое сопло L84/ф24/ф16 (коническое) медь (стенка 2мм)  SV145.0078  ООО «СВАРТ» Для всех позиций - (материал  сопел -</w:t>
            </w:r>
            <w:proofErr w:type="spellStart"/>
            <w:r w:rsidRPr="00383641">
              <w:rPr>
                <w:rFonts w:ascii="Times New Roman" w:eastAsia="Calibri" w:hAnsi="Times New Roman" w:cs="Calibri"/>
                <w:lang w:eastAsia="ar-SA"/>
              </w:rPr>
              <w:t>Cu</w:t>
            </w:r>
            <w:proofErr w:type="spellEnd"/>
            <w:r w:rsidRPr="00383641">
              <w:rPr>
                <w:rFonts w:ascii="Times New Roman" w:eastAsia="Calibri" w:hAnsi="Times New Roman" w:cs="Calibri"/>
                <w:lang w:eastAsia="ar-SA"/>
              </w:rPr>
              <w:t>)</w:t>
            </w:r>
          </w:p>
        </w:tc>
        <w:tc>
          <w:tcPr>
            <w:tcW w:w="1417" w:type="dxa"/>
            <w:shd w:val="clear" w:color="auto" w:fill="auto"/>
            <w:vAlign w:val="center"/>
          </w:tcPr>
          <w:p w:rsidR="00002A69" w:rsidRPr="008E77AF"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2 500,00</w:t>
            </w:r>
          </w:p>
        </w:tc>
      </w:tr>
      <w:tr w:rsidR="00002A69" w:rsidRPr="008E77AF" w:rsidTr="003676CC">
        <w:trPr>
          <w:trHeight w:val="220"/>
        </w:trPr>
        <w:tc>
          <w:tcPr>
            <w:tcW w:w="567" w:type="dxa"/>
            <w:shd w:val="clear" w:color="auto" w:fill="auto"/>
            <w:vAlign w:val="center"/>
          </w:tcPr>
          <w:p w:rsidR="00002A69"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5.</w:t>
            </w:r>
          </w:p>
        </w:tc>
        <w:tc>
          <w:tcPr>
            <w:tcW w:w="8222" w:type="dxa"/>
            <w:gridSpan w:val="2"/>
            <w:shd w:val="clear" w:color="auto" w:fill="auto"/>
            <w:vAlign w:val="center"/>
          </w:tcPr>
          <w:p w:rsidR="00002A69" w:rsidRDefault="00002A69" w:rsidP="003676CC">
            <w:pPr>
              <w:suppressAutoHyphens/>
              <w:jc w:val="both"/>
              <w:rPr>
                <w:rFonts w:ascii="Times New Roman" w:eastAsia="Calibri" w:hAnsi="Times New Roman" w:cs="Calibri"/>
                <w:lang w:eastAsia="ar-SA"/>
              </w:rPr>
            </w:pPr>
            <w:r w:rsidRPr="00383641">
              <w:rPr>
                <w:rFonts w:ascii="Times New Roman" w:eastAsia="Calibri" w:hAnsi="Times New Roman" w:cs="Calibri"/>
                <w:lang w:eastAsia="ar-SA"/>
              </w:rPr>
              <w:t>Сильно коническое сопло Ø12 (PARKER) РВ 3617 или Сопло газовое (</w:t>
            </w:r>
            <w:proofErr w:type="spellStart"/>
            <w:r w:rsidRPr="00383641">
              <w:rPr>
                <w:rFonts w:ascii="Times New Roman" w:eastAsia="Calibri" w:hAnsi="Times New Roman" w:cs="Calibri"/>
                <w:lang w:eastAsia="ar-SA"/>
              </w:rPr>
              <w:t>Mig</w:t>
            </w:r>
            <w:proofErr w:type="spellEnd"/>
            <w:r w:rsidRPr="00383641">
              <w:rPr>
                <w:rFonts w:ascii="Times New Roman" w:eastAsia="Calibri" w:hAnsi="Times New Roman" w:cs="Calibri"/>
                <w:lang w:eastAsia="ar-SA"/>
              </w:rPr>
              <w:t xml:space="preserve"> 36) Ø 12 мм, коническое 8004454  или Сопло газовое KR2130126 (компания КЕМП), Для всех позиций - (материал  сопел -</w:t>
            </w:r>
            <w:proofErr w:type="spellStart"/>
            <w:r w:rsidRPr="00383641">
              <w:rPr>
                <w:rFonts w:ascii="Times New Roman" w:eastAsia="Calibri" w:hAnsi="Times New Roman" w:cs="Calibri"/>
                <w:lang w:eastAsia="ar-SA"/>
              </w:rPr>
              <w:t>Cu</w:t>
            </w:r>
            <w:proofErr w:type="spellEnd"/>
            <w:r w:rsidRPr="00383641">
              <w:rPr>
                <w:rFonts w:ascii="Times New Roman" w:eastAsia="Calibri" w:hAnsi="Times New Roman" w:cs="Calibri"/>
                <w:lang w:eastAsia="ar-SA"/>
              </w:rPr>
              <w:t>)</w:t>
            </w:r>
          </w:p>
        </w:tc>
        <w:tc>
          <w:tcPr>
            <w:tcW w:w="1417" w:type="dxa"/>
            <w:shd w:val="clear" w:color="auto" w:fill="auto"/>
            <w:vAlign w:val="center"/>
          </w:tcPr>
          <w:p w:rsidR="00002A69" w:rsidRDefault="00002A69"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200,00</w:t>
            </w:r>
          </w:p>
        </w:tc>
      </w:tr>
      <w:tr w:rsidR="00002A69" w:rsidRPr="008E77AF" w:rsidTr="00002A69">
        <w:trPr>
          <w:trHeight w:val="654"/>
        </w:trPr>
        <w:tc>
          <w:tcPr>
            <w:tcW w:w="8777" w:type="dxa"/>
            <w:gridSpan w:val="2"/>
            <w:shd w:val="clear" w:color="auto" w:fill="auto"/>
            <w:vAlign w:val="center"/>
          </w:tcPr>
          <w:p w:rsidR="00002A69" w:rsidRDefault="00002A69" w:rsidP="003676CC">
            <w:pPr>
              <w:suppressAutoHyphens/>
              <w:jc w:val="both"/>
              <w:rPr>
                <w:rFonts w:ascii="Times New Roman" w:eastAsia="Calibri" w:hAnsi="Times New Roman" w:cs="Calibri"/>
                <w:b/>
                <w:lang w:eastAsia="ar-SA"/>
              </w:rPr>
            </w:pP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Стоимость с НДС  (НМЦД) руб.</w:t>
            </w:r>
          </w:p>
          <w:p w:rsidR="00002A69" w:rsidRPr="008E77AF" w:rsidRDefault="00002A69" w:rsidP="003676CC">
            <w:pPr>
              <w:suppressAutoHyphens/>
              <w:jc w:val="both"/>
              <w:rPr>
                <w:rFonts w:ascii="Times New Roman" w:eastAsia="Calibri" w:hAnsi="Times New Roman" w:cs="Calibri"/>
                <w:b/>
                <w:lang w:eastAsia="ar-SA"/>
              </w:rPr>
            </w:pPr>
          </w:p>
        </w:tc>
        <w:tc>
          <w:tcPr>
            <w:tcW w:w="1429" w:type="dxa"/>
            <w:gridSpan w:val="2"/>
            <w:shd w:val="clear" w:color="auto" w:fill="auto"/>
            <w:vAlign w:val="center"/>
          </w:tcPr>
          <w:p w:rsidR="00002A69" w:rsidRPr="008E77AF" w:rsidRDefault="00002A69" w:rsidP="003676CC">
            <w:pPr>
              <w:suppressAutoHyphens/>
              <w:jc w:val="both"/>
              <w:rPr>
                <w:rFonts w:ascii="Times New Roman" w:eastAsia="Calibri" w:hAnsi="Times New Roman" w:cs="Calibri"/>
                <w:b/>
                <w:lang w:eastAsia="ar-SA"/>
              </w:rPr>
            </w:pPr>
            <w:r>
              <w:rPr>
                <w:rFonts w:ascii="Times New Roman" w:eastAsia="Calibri" w:hAnsi="Times New Roman" w:cs="Calibri"/>
                <w:b/>
                <w:lang w:eastAsia="ar-SA"/>
              </w:rPr>
              <w:t xml:space="preserve">  959 183,50</w:t>
            </w:r>
          </w:p>
        </w:tc>
      </w:tr>
    </w:tbl>
    <w:p w:rsidR="00002A69" w:rsidRDefault="00002A69" w:rsidP="00002A69">
      <w:pPr>
        <w:contextualSpacing/>
        <w:jc w:val="both"/>
        <w:rPr>
          <w:rFonts w:ascii="Times New Roman" w:hAnsi="Times New Roman" w:cs="Times New Roman"/>
          <w:b/>
        </w:rPr>
      </w:pPr>
    </w:p>
    <w:p w:rsidR="00002A69" w:rsidRPr="00354D03" w:rsidRDefault="00002A69" w:rsidP="00002A69">
      <w:pPr>
        <w:tabs>
          <w:tab w:val="left" w:pos="993"/>
        </w:tabs>
        <w:ind w:left="-567"/>
        <w:jc w:val="both"/>
        <w:rPr>
          <w:rFonts w:ascii="Times New Roman" w:hAnsi="Times New Roman" w:cs="Times New Roman"/>
          <w:b/>
        </w:rPr>
      </w:pPr>
      <w:r w:rsidRPr="00354D03">
        <w:rPr>
          <w:rFonts w:ascii="Times New Roman" w:hAnsi="Times New Roman" w:cs="Times New Roman"/>
          <w:b/>
        </w:rPr>
        <w:lastRenderedPageBreak/>
        <w:t xml:space="preserve">2. Требования к качеству и техническим характеристикам товара: </w:t>
      </w:r>
    </w:p>
    <w:p w:rsidR="00002A69" w:rsidRPr="00354D03" w:rsidRDefault="00002A69" w:rsidP="00002A69">
      <w:pPr>
        <w:ind w:left="-567"/>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002A69" w:rsidRPr="00354D03" w:rsidRDefault="00002A69" w:rsidP="00002A69">
      <w:pPr>
        <w:ind w:left="-567"/>
        <w:contextualSpacing/>
        <w:jc w:val="both"/>
        <w:rPr>
          <w:rFonts w:ascii="Times New Roman" w:hAnsi="Times New Roman" w:cs="Times New Roman"/>
        </w:rPr>
      </w:pPr>
      <w:r w:rsidRPr="00354D03">
        <w:rPr>
          <w:rFonts w:ascii="Times New Roman" w:hAnsi="Times New Roman" w:cs="Times New Roman"/>
        </w:rPr>
        <w:t>- национальные стандарты РФ;</w:t>
      </w:r>
    </w:p>
    <w:p w:rsidR="00002A69" w:rsidRPr="00354D03" w:rsidRDefault="00002A69" w:rsidP="00002A69">
      <w:pPr>
        <w:ind w:left="-567"/>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002A69" w:rsidRPr="00354D03" w:rsidRDefault="00002A69" w:rsidP="00002A69">
      <w:pPr>
        <w:ind w:left="-567"/>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002A69" w:rsidRPr="00BA6A35" w:rsidRDefault="00002A69" w:rsidP="00002A69">
      <w:pPr>
        <w:ind w:left="-567"/>
        <w:contextualSpacing/>
        <w:jc w:val="both"/>
        <w:rPr>
          <w:rFonts w:ascii="Times New Roman" w:hAnsi="Times New Roman" w:cs="Times New Roman"/>
        </w:rPr>
      </w:pPr>
    </w:p>
    <w:p w:rsidR="00002A69" w:rsidRPr="00BA6A35" w:rsidRDefault="00002A69" w:rsidP="00002A69">
      <w:pPr>
        <w:ind w:left="-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002A69" w:rsidRPr="00BA6A35" w:rsidRDefault="00002A69" w:rsidP="00002A69">
      <w:pPr>
        <w:ind w:left="-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w:t>
      </w:r>
      <w:r>
        <w:rPr>
          <w:rFonts w:ascii="Times New Roman" w:hAnsi="Times New Roman" w:cs="Times New Roman"/>
        </w:rPr>
        <w:t>.</w:t>
      </w:r>
      <w:r w:rsidRPr="00BA6A35">
        <w:rPr>
          <w:rFonts w:ascii="Times New Roman" w:hAnsi="Times New Roman" w:cs="Times New Roman"/>
        </w:rPr>
        <w:t xml:space="preserve"> </w:t>
      </w:r>
    </w:p>
    <w:p w:rsidR="00002A69" w:rsidRPr="00BA6A35" w:rsidRDefault="00002A69" w:rsidP="00002A69">
      <w:pPr>
        <w:ind w:left="-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w:t>
      </w:r>
      <w:r w:rsidRPr="00C33281">
        <w:rPr>
          <w:rFonts w:ascii="Times New Roman" w:hAnsi="Times New Roman" w:cs="Times New Roman"/>
        </w:rPr>
        <w:t xml:space="preserve">(двенадцать) </w:t>
      </w:r>
      <w:r w:rsidRPr="00BA6A35">
        <w:rPr>
          <w:rFonts w:ascii="Times New Roman" w:hAnsi="Times New Roman" w:cs="Times New Roman"/>
        </w:rPr>
        <w:t>месяцев.</w:t>
      </w:r>
    </w:p>
    <w:p w:rsidR="00002A69" w:rsidRPr="00BA6A35" w:rsidRDefault="00002A69" w:rsidP="00002A69">
      <w:pPr>
        <w:ind w:left="-567"/>
        <w:contextualSpacing/>
        <w:jc w:val="both"/>
        <w:rPr>
          <w:rFonts w:ascii="Times New Roman" w:hAnsi="Times New Roman" w:cs="Times New Roman"/>
          <w:b/>
        </w:rPr>
      </w:pPr>
    </w:p>
    <w:p w:rsidR="00002A69" w:rsidRPr="00BA6A35" w:rsidRDefault="00002A69" w:rsidP="00002A69">
      <w:pPr>
        <w:ind w:left="-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002A69" w:rsidRPr="00BA6A35" w:rsidRDefault="00002A69" w:rsidP="00002A69">
      <w:pPr>
        <w:ind w:left="-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02A69" w:rsidRPr="00BA6A35" w:rsidRDefault="00002A69" w:rsidP="00002A69">
      <w:pPr>
        <w:ind w:left="-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02A69" w:rsidRPr="00BA6A35" w:rsidRDefault="00002A69" w:rsidP="00002A69">
      <w:pPr>
        <w:ind w:left="-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002A69" w:rsidRPr="00BA6A35" w:rsidRDefault="00002A69" w:rsidP="00002A69">
      <w:pPr>
        <w:ind w:left="-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w:t>
      </w:r>
      <w:r>
        <w:rPr>
          <w:rFonts w:ascii="Times New Roman" w:hAnsi="Times New Roman" w:cs="Times New Roman"/>
        </w:rPr>
        <w:t>ериально-технические, трудовые).</w:t>
      </w:r>
    </w:p>
    <w:p w:rsidR="00002A69" w:rsidRPr="00BA6A35" w:rsidRDefault="00002A69" w:rsidP="00002A69">
      <w:pPr>
        <w:ind w:left="-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w:t>
      </w:r>
      <w:r>
        <w:rPr>
          <w:rFonts w:ascii="Times New Roman" w:eastAsia="Times New Roman" w:hAnsi="Times New Roman" w:cs="Times New Roman"/>
        </w:rPr>
        <w:t xml:space="preserve"> исчисляет и уплачивает налоги).</w:t>
      </w:r>
    </w:p>
    <w:p w:rsidR="00002A69" w:rsidRPr="00BA6A35" w:rsidRDefault="00002A69" w:rsidP="00002A69">
      <w:pPr>
        <w:ind w:left="-567"/>
        <w:contextualSpacing/>
        <w:jc w:val="both"/>
        <w:rPr>
          <w:rFonts w:ascii="Times New Roman" w:eastAsia="Times New Roman" w:hAnsi="Times New Roman" w:cs="Times New Roman"/>
        </w:rPr>
      </w:pPr>
      <w:r w:rsidRPr="00BA6A35">
        <w:rPr>
          <w:rFonts w:ascii="Times New Roman" w:eastAsia="Times New Roman" w:hAnsi="Times New Roman" w:cs="Times New Roman"/>
        </w:rPr>
        <w:t xml:space="preserve">4.6. Не искажает факты хозяйственной жизни и не </w:t>
      </w:r>
      <w:r>
        <w:rPr>
          <w:rFonts w:ascii="Times New Roman" w:eastAsia="Times New Roman" w:hAnsi="Times New Roman" w:cs="Times New Roman"/>
        </w:rPr>
        <w:t>ведет фиктивный документооборот.</w:t>
      </w:r>
    </w:p>
    <w:p w:rsidR="00002A69" w:rsidRPr="00BA6A35" w:rsidRDefault="00002A69" w:rsidP="00002A69">
      <w:pPr>
        <w:tabs>
          <w:tab w:val="left" w:pos="-284"/>
          <w:tab w:val="left" w:pos="426"/>
          <w:tab w:val="left" w:pos="960"/>
        </w:tabs>
        <w:ind w:left="-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w:t>
      </w:r>
      <w:r>
        <w:rPr>
          <w:rFonts w:ascii="Times New Roman" w:eastAsia="Times New Roman" w:hAnsi="Times New Roman" w:cs="Times New Roman"/>
        </w:rPr>
        <w:t>ли зачета/возврата суммы налога.</w:t>
      </w:r>
    </w:p>
    <w:p w:rsidR="00002A69" w:rsidRPr="00BA6A35" w:rsidRDefault="00002A69" w:rsidP="00002A69">
      <w:pPr>
        <w:ind w:left="-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r>
        <w:rPr>
          <w:rFonts w:ascii="Times New Roman" w:eastAsia="Times New Roman" w:hAnsi="Times New Roman" w:cs="Times New Roman"/>
        </w:rPr>
        <w:t>.</w:t>
      </w:r>
    </w:p>
    <w:p w:rsidR="00002A69" w:rsidRPr="00BA6A35" w:rsidRDefault="00002A69" w:rsidP="00002A69">
      <w:pPr>
        <w:ind w:left="-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002A69" w:rsidRPr="00BA6A35" w:rsidRDefault="00002A69" w:rsidP="00002A69">
      <w:pPr>
        <w:tabs>
          <w:tab w:val="left" w:pos="993"/>
        </w:tabs>
        <w:ind w:left="-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002A69" w:rsidRPr="00BA6A35" w:rsidRDefault="00002A69" w:rsidP="00002A69">
      <w:pPr>
        <w:ind w:left="-567"/>
        <w:contextualSpacing/>
        <w:jc w:val="both"/>
        <w:rPr>
          <w:rFonts w:ascii="Times New Roman" w:hAnsi="Times New Roman" w:cs="Times New Roman"/>
          <w:b/>
        </w:rPr>
      </w:pPr>
    </w:p>
    <w:p w:rsidR="00002A69" w:rsidRPr="00BA6A35" w:rsidRDefault="00002A69" w:rsidP="00002A69">
      <w:pPr>
        <w:ind w:left="-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002A69" w:rsidRPr="00BA6A35" w:rsidRDefault="00002A69" w:rsidP="00002A69">
      <w:pPr>
        <w:ind w:left="-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002A69" w:rsidRDefault="00002A69" w:rsidP="00002A69">
      <w:pPr>
        <w:ind w:left="-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80% производится в течение 10 рабочих</w:t>
      </w:r>
      <w:r w:rsidRPr="00BA6A35">
        <w:rPr>
          <w:rFonts w:ascii="Times New Roman" w:hAnsi="Times New Roman" w:cs="Times New Roman"/>
        </w:rPr>
        <w:t xml:space="preserve">  дней после подписания </w:t>
      </w:r>
    </w:p>
    <w:p w:rsidR="00002A69" w:rsidRDefault="00002A69" w:rsidP="00002A69">
      <w:pPr>
        <w:ind w:left="-567"/>
        <w:jc w:val="both"/>
        <w:rPr>
          <w:rFonts w:ascii="Times New Roman" w:hAnsi="Times New Roman" w:cs="Times New Roman"/>
        </w:rPr>
      </w:pPr>
      <w:r w:rsidRPr="00BA6A35">
        <w:rPr>
          <w:rFonts w:ascii="Times New Roman" w:hAnsi="Times New Roman" w:cs="Times New Roman"/>
        </w:rPr>
        <w:t xml:space="preserve">договора, соответствующей спецификации, получения от Поставщика счета со ссылкой </w:t>
      </w:r>
      <w:proofErr w:type="gramStart"/>
      <w:r w:rsidRPr="00BA6A35">
        <w:rPr>
          <w:rFonts w:ascii="Times New Roman" w:hAnsi="Times New Roman" w:cs="Times New Roman"/>
        </w:rPr>
        <w:t>на</w:t>
      </w:r>
      <w:proofErr w:type="gramEnd"/>
      <w:r w:rsidRPr="00BA6A35">
        <w:rPr>
          <w:rFonts w:ascii="Times New Roman" w:hAnsi="Times New Roman" w:cs="Times New Roman"/>
        </w:rPr>
        <w:t xml:space="preserve"> </w:t>
      </w:r>
    </w:p>
    <w:p w:rsidR="00002A69" w:rsidRDefault="00002A69" w:rsidP="00002A69">
      <w:pPr>
        <w:ind w:left="-567"/>
        <w:jc w:val="both"/>
        <w:rPr>
          <w:rFonts w:ascii="Times New Roman" w:hAnsi="Times New Roman" w:cs="Times New Roman"/>
        </w:rPr>
      </w:pPr>
      <w:r w:rsidRPr="00BA6A35">
        <w:rPr>
          <w:rFonts w:ascii="Times New Roman" w:hAnsi="Times New Roman" w:cs="Times New Roman"/>
        </w:rPr>
        <w:t xml:space="preserve">номер и дату договора. При заключении договора с банковской гарантией, оплата аванса </w:t>
      </w:r>
    </w:p>
    <w:p w:rsidR="00002A69" w:rsidRDefault="00002A69" w:rsidP="00002A69">
      <w:pPr>
        <w:ind w:left="-567"/>
        <w:jc w:val="both"/>
        <w:rPr>
          <w:rFonts w:ascii="Times New Roman" w:hAnsi="Times New Roman" w:cs="Times New Roman"/>
        </w:rPr>
      </w:pPr>
      <w:r w:rsidRPr="00BA6A35">
        <w:rPr>
          <w:rFonts w:ascii="Times New Roman" w:hAnsi="Times New Roman" w:cs="Times New Roman"/>
        </w:rPr>
        <w:t>производится только после предоставления указанной гарантии.</w:t>
      </w:r>
    </w:p>
    <w:p w:rsidR="00002A69" w:rsidRDefault="00002A69" w:rsidP="00002A69">
      <w:pPr>
        <w:ind w:left="-567"/>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кончательный расчет производится в течение 10 рабочих дней с момента приемки товара  на складе Покупателя.</w:t>
      </w:r>
    </w:p>
    <w:p w:rsidR="00002A69" w:rsidRPr="007F43E9" w:rsidRDefault="00002A69" w:rsidP="00002A69">
      <w:pPr>
        <w:autoSpaceDE w:val="0"/>
        <w:ind w:left="-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документов относящихся к товару,</w:t>
      </w:r>
      <w:r w:rsidRPr="007F6BF8">
        <w:rPr>
          <w:rFonts w:ascii="Times New Roman" w:eastAsia="DejaVu Sans" w:hAnsi="Times New Roman" w:cs="Times New Roman"/>
        </w:rPr>
        <w:t xml:space="preserve"> п</w:t>
      </w:r>
      <w:r>
        <w:rPr>
          <w:rFonts w:ascii="Times New Roman" w:eastAsia="DejaVu Sans" w:hAnsi="Times New Roman" w:cs="Times New Roman"/>
        </w:rPr>
        <w:t xml:space="preserve">редусмотренных договором, </w:t>
      </w:r>
      <w:r w:rsidRPr="007F6BF8">
        <w:rPr>
          <w:rFonts w:ascii="Times New Roman" w:eastAsia="DejaVu Sans" w:hAnsi="Times New Roman" w:cs="Times New Roman"/>
        </w:rPr>
        <w:t xml:space="preserve"> закрытия замечаний согласно акту входного контроля</w:t>
      </w:r>
      <w:r w:rsidRPr="007F43E9">
        <w:rPr>
          <w:rFonts w:ascii="Times New Roman" w:eastAsia="DejaVu Sans" w:hAnsi="Times New Roman" w:cs="Times New Roman"/>
        </w:rPr>
        <w:t xml:space="preserve">, а также документов, подтверждающих, что товар </w:t>
      </w:r>
      <w:r w:rsidRPr="007F43E9">
        <w:rPr>
          <w:rFonts w:ascii="Times New Roman" w:hAnsi="Times New Roman" w:cs="Times New Roman"/>
        </w:rPr>
        <w:t xml:space="preserve">произведен на территории РФ в соответствии с </w:t>
      </w:r>
      <w:r w:rsidRPr="007F43E9">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0" w:history="1">
        <w:r w:rsidRPr="007F43E9">
          <w:rPr>
            <w:rFonts w:ascii="Times New Roman" w:hAnsi="Times New Roman" w:cs="Times New Roman"/>
            <w:color w:val="000000" w:themeColor="text1"/>
          </w:rPr>
          <w:t>Постановления</w:t>
        </w:r>
      </w:hyperlink>
      <w:r w:rsidRPr="007F43E9">
        <w:rPr>
          <w:rFonts w:ascii="Times New Roman" w:hAnsi="Times New Roman" w:cs="Times New Roman"/>
          <w:color w:val="000000" w:themeColor="text1"/>
        </w:rPr>
        <w:t xml:space="preserve"> Правительства РФ от 19.05.2021 N 758</w:t>
      </w:r>
      <w:r w:rsidRPr="007F43E9">
        <w:rPr>
          <w:rFonts w:ascii="Times New Roman" w:eastAsia="Times New Roman" w:hAnsi="Times New Roman" w:cs="Times New Roman"/>
          <w:color w:val="000000" w:themeColor="text1"/>
        </w:rPr>
        <w:t>.</w:t>
      </w:r>
      <w:proofErr w:type="gramEnd"/>
    </w:p>
    <w:p w:rsidR="00002A69" w:rsidRPr="007F43E9" w:rsidRDefault="00002A69" w:rsidP="00002A69">
      <w:pPr>
        <w:ind w:left="-567"/>
        <w:jc w:val="both"/>
        <w:rPr>
          <w:rFonts w:ascii="Times New Roman" w:hAnsi="Times New Roman" w:cs="Times New Roman"/>
        </w:rPr>
      </w:pPr>
      <w:r w:rsidRPr="007F43E9">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F43E9">
        <w:rPr>
          <w:rFonts w:ascii="Times New Roman" w:hAnsi="Times New Roman" w:cs="Times New Roman"/>
        </w:rPr>
        <w:t>расходы</w:t>
      </w:r>
      <w:proofErr w:type="gramEnd"/>
      <w:r w:rsidRPr="007F43E9">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02A69" w:rsidRPr="007F43E9" w:rsidRDefault="00002A69" w:rsidP="00002A69">
      <w:pPr>
        <w:autoSpaceDE w:val="0"/>
        <w:ind w:left="-567"/>
        <w:jc w:val="both"/>
        <w:rPr>
          <w:rFonts w:ascii="Times New Roman" w:eastAsia="DejaVu Sans" w:hAnsi="Times New Roman" w:cs="Times New Roman"/>
        </w:rPr>
      </w:pPr>
      <w:r w:rsidRPr="007F43E9">
        <w:rPr>
          <w:rFonts w:ascii="Times New Roman" w:eastAsia="DejaVu Sans" w:hAnsi="Times New Roman" w:cs="Times New Roman"/>
        </w:rPr>
        <w:t>6. Опцион.</w:t>
      </w:r>
    </w:p>
    <w:p w:rsidR="00002A69" w:rsidRPr="007F43E9" w:rsidRDefault="00002A69" w:rsidP="00002A69">
      <w:pPr>
        <w:suppressAutoHyphens/>
        <w:ind w:left="-567" w:right="-142"/>
        <w:jc w:val="both"/>
        <w:rPr>
          <w:rFonts w:ascii="Times New Roman" w:hAnsi="Times New Roman" w:cs="Times New Roman"/>
        </w:rPr>
      </w:pPr>
      <w:r w:rsidRPr="007F43E9">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7F43E9">
        <w:rPr>
          <w:rFonts w:ascii="Times New Roman" w:hAnsi="Times New Roman" w:cs="Times New Roman"/>
          <w:color w:val="000000" w:themeColor="text1"/>
        </w:rPr>
        <w:t>оговором от 27.01.2025 №12/ОПЭД-25,</w:t>
      </w:r>
      <w:r w:rsidRPr="007F43E9">
        <w:rPr>
          <w:rFonts w:ascii="Times New Roman" w:hAnsi="Times New Roman" w:cs="Times New Roman"/>
        </w:rPr>
        <w:t xml:space="preserve"> Стороны согласовали право Покупателя заявить </w:t>
      </w:r>
      <w:r w:rsidRPr="007F43E9">
        <w:rPr>
          <w:rFonts w:ascii="Times New Roman" w:hAnsi="Times New Roman" w:cs="Times New Roman"/>
        </w:rPr>
        <w:lastRenderedPageBreak/>
        <w:t xml:space="preserve">требование к Поставщику на поставку ТМЦ по опциону, помимо договора, </w:t>
      </w:r>
      <w:r w:rsidRPr="007F43E9">
        <w:rPr>
          <w:rFonts w:ascii="Times New Roman" w:hAnsi="Times New Roman" w:cs="Times New Roman"/>
          <w:color w:val="000000" w:themeColor="text1"/>
        </w:rPr>
        <w:t>заключённого в рамках выполнения Договора от 27.01.2025 №12/ОПЭД-25</w:t>
      </w:r>
      <w:r w:rsidRPr="007F43E9">
        <w:rPr>
          <w:rFonts w:ascii="Times New Roman" w:hAnsi="Times New Roman" w:cs="Times New Roman"/>
        </w:rPr>
        <w:t xml:space="preserve">. </w:t>
      </w:r>
    </w:p>
    <w:p w:rsidR="00002A69" w:rsidRPr="007F43E9" w:rsidRDefault="00002A69" w:rsidP="00002A69">
      <w:pPr>
        <w:suppressAutoHyphens/>
        <w:ind w:left="-567" w:right="-142"/>
        <w:jc w:val="both"/>
        <w:rPr>
          <w:rFonts w:ascii="Times New Roman" w:hAnsi="Times New Roman" w:cs="Times New Roman"/>
        </w:rPr>
      </w:pPr>
      <w:r w:rsidRPr="007F43E9">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7F43E9">
        <w:rPr>
          <w:rFonts w:ascii="Times New Roman" w:hAnsi="Times New Roman" w:cs="Times New Roman"/>
        </w:rPr>
        <w:t>с даты подписания</w:t>
      </w:r>
      <w:proofErr w:type="gramEnd"/>
      <w:r w:rsidRPr="007F43E9">
        <w:rPr>
          <w:rFonts w:ascii="Times New Roman" w:hAnsi="Times New Roman" w:cs="Times New Roman"/>
        </w:rPr>
        <w:t xml:space="preserve"> настоящего Договора.</w:t>
      </w:r>
    </w:p>
    <w:p w:rsidR="00002A69" w:rsidRPr="007F43E9" w:rsidRDefault="00002A69" w:rsidP="00002A69">
      <w:pPr>
        <w:suppressAutoHyphens/>
        <w:ind w:left="-567" w:right="-142"/>
        <w:jc w:val="both"/>
        <w:rPr>
          <w:rFonts w:ascii="Times New Roman" w:hAnsi="Times New Roman" w:cs="Times New Roman"/>
        </w:rPr>
      </w:pPr>
      <w:r w:rsidRPr="007F43E9">
        <w:rPr>
          <w:rFonts w:ascii="Times New Roman" w:hAnsi="Times New Roman" w:cs="Times New Roman"/>
        </w:rPr>
        <w:t xml:space="preserve">6.3. </w:t>
      </w:r>
      <w:proofErr w:type="gramStart"/>
      <w:r w:rsidRPr="007F43E9">
        <w:rPr>
          <w:rFonts w:ascii="Times New Roman" w:hAnsi="Times New Roman" w:cs="Times New Roman"/>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02A69" w:rsidRPr="007F43E9" w:rsidRDefault="00002A69" w:rsidP="00002A69">
      <w:pPr>
        <w:ind w:left="-567"/>
        <w:jc w:val="both"/>
        <w:rPr>
          <w:rFonts w:ascii="Times New Roman" w:hAnsi="Times New Roman" w:cs="Times New Roman"/>
        </w:rPr>
      </w:pPr>
    </w:p>
    <w:p w:rsidR="00002A69" w:rsidRPr="007F6BF8" w:rsidRDefault="00002A69" w:rsidP="00F1124E">
      <w:pPr>
        <w:autoSpaceDE w:val="0"/>
        <w:ind w:firstLine="567"/>
        <w:contextualSpacing/>
        <w:jc w:val="both"/>
        <w:rPr>
          <w:rFonts w:ascii="Times New Roman" w:eastAsia="DejaVu Sans" w:hAnsi="Times New Roman" w:cs="Times New Roman"/>
        </w:rPr>
      </w:pPr>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BB12F1" w:rsidRDefault="00BB12F1" w:rsidP="00211274">
      <w:pPr>
        <w:spacing w:after="0" w:line="240" w:lineRule="auto"/>
        <w:ind w:firstLine="567"/>
        <w:jc w:val="right"/>
        <w:rPr>
          <w:rFonts w:ascii="Times New Roman" w:hAnsi="Times New Roman" w:cs="Times New Roman"/>
          <w:i/>
          <w:sz w:val="24"/>
          <w:szCs w:val="24"/>
        </w:rPr>
      </w:pPr>
    </w:p>
    <w:p w:rsidR="00BB12F1" w:rsidRDefault="00BB12F1" w:rsidP="00211274">
      <w:pPr>
        <w:spacing w:after="0" w:line="240" w:lineRule="auto"/>
        <w:ind w:firstLine="567"/>
        <w:jc w:val="right"/>
        <w:rPr>
          <w:rFonts w:ascii="Times New Roman" w:hAnsi="Times New Roman" w:cs="Times New Roman"/>
          <w:i/>
          <w:sz w:val="24"/>
          <w:szCs w:val="24"/>
        </w:rPr>
      </w:pPr>
    </w:p>
    <w:p w:rsidR="00BB12F1" w:rsidRDefault="00BB12F1" w:rsidP="00211274">
      <w:pPr>
        <w:spacing w:after="0" w:line="240" w:lineRule="auto"/>
        <w:ind w:firstLine="567"/>
        <w:jc w:val="right"/>
        <w:rPr>
          <w:rFonts w:ascii="Times New Roman" w:hAnsi="Times New Roman" w:cs="Times New Roman"/>
          <w:i/>
          <w:sz w:val="24"/>
          <w:szCs w:val="24"/>
        </w:rPr>
      </w:pPr>
    </w:p>
    <w:p w:rsidR="00AB33D6" w:rsidRPr="001B4074" w:rsidRDefault="00BB12F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1"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10"/>
        <w:gridCol w:w="12"/>
        <w:gridCol w:w="1417"/>
      </w:tblGrid>
      <w:tr w:rsidR="00BB12F1" w:rsidRPr="008E77AF" w:rsidTr="00BB12F1">
        <w:trPr>
          <w:trHeight w:val="564"/>
        </w:trPr>
        <w:tc>
          <w:tcPr>
            <w:tcW w:w="567" w:type="dxa"/>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p>
          <w:p w:rsidR="00BB12F1" w:rsidRPr="008E77AF" w:rsidRDefault="00BB12F1" w:rsidP="003676CC">
            <w:pPr>
              <w:suppressAutoHyphens/>
              <w:jc w:val="both"/>
              <w:rPr>
                <w:rFonts w:ascii="Times New Roman" w:eastAsia="Calibri" w:hAnsi="Times New Roman" w:cs="Calibri"/>
                <w:lang w:eastAsia="ar-SA"/>
              </w:rPr>
            </w:pPr>
            <w:r w:rsidRPr="008E77AF">
              <w:rPr>
                <w:rFonts w:ascii="Times New Roman" w:eastAsia="Calibri" w:hAnsi="Times New Roman" w:cs="Calibri"/>
                <w:b/>
                <w:lang w:eastAsia="ar-SA"/>
              </w:rPr>
              <w:t>№</w:t>
            </w:r>
          </w:p>
        </w:tc>
        <w:tc>
          <w:tcPr>
            <w:tcW w:w="8222" w:type="dxa"/>
            <w:gridSpan w:val="2"/>
            <w:shd w:val="clear" w:color="auto" w:fill="auto"/>
            <w:vAlign w:val="center"/>
          </w:tcPr>
          <w:p w:rsidR="00BB12F1" w:rsidRPr="008E77AF" w:rsidRDefault="00BB12F1" w:rsidP="003676CC">
            <w:pPr>
              <w:suppressAutoHyphens/>
              <w:ind w:left="167"/>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Наименование материала</w:t>
            </w:r>
          </w:p>
        </w:tc>
        <w:tc>
          <w:tcPr>
            <w:tcW w:w="1417" w:type="dxa"/>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Кол-во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шт.</w:t>
            </w:r>
          </w:p>
        </w:tc>
      </w:tr>
      <w:tr w:rsidR="00BB12F1" w:rsidRPr="008E77AF" w:rsidTr="00BB12F1">
        <w:trPr>
          <w:trHeight w:val="220"/>
        </w:trPr>
        <w:tc>
          <w:tcPr>
            <w:tcW w:w="567" w:type="dxa"/>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w:t>
            </w:r>
            <w:r w:rsidRPr="008E77AF">
              <w:rPr>
                <w:rFonts w:ascii="Times New Roman" w:eastAsia="Calibri" w:hAnsi="Times New Roman" w:cs="Calibri"/>
                <w:lang w:eastAsia="ar-SA"/>
              </w:rPr>
              <w:t>1.</w:t>
            </w:r>
          </w:p>
        </w:tc>
        <w:tc>
          <w:tcPr>
            <w:tcW w:w="8222" w:type="dxa"/>
            <w:gridSpan w:val="2"/>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p>
        </w:tc>
        <w:tc>
          <w:tcPr>
            <w:tcW w:w="1417" w:type="dxa"/>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p>
        </w:tc>
      </w:tr>
      <w:tr w:rsidR="00BB12F1" w:rsidRPr="008E77AF" w:rsidTr="00BB12F1">
        <w:trPr>
          <w:trHeight w:val="220"/>
        </w:trPr>
        <w:tc>
          <w:tcPr>
            <w:tcW w:w="567" w:type="dxa"/>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2.</w:t>
            </w:r>
          </w:p>
        </w:tc>
        <w:tc>
          <w:tcPr>
            <w:tcW w:w="8222" w:type="dxa"/>
            <w:gridSpan w:val="2"/>
            <w:shd w:val="clear" w:color="auto" w:fill="auto"/>
            <w:vAlign w:val="center"/>
          </w:tcPr>
          <w:p w:rsidR="00BB12F1" w:rsidRPr="00B81F6C" w:rsidRDefault="00BB12F1" w:rsidP="003676CC">
            <w:pPr>
              <w:suppressAutoHyphens/>
              <w:jc w:val="both"/>
              <w:rPr>
                <w:rFonts w:ascii="Times New Roman" w:eastAsia="Calibri" w:hAnsi="Times New Roman" w:cs="Calibri"/>
                <w:lang w:eastAsia="ar-SA"/>
              </w:rPr>
            </w:pPr>
          </w:p>
        </w:tc>
        <w:tc>
          <w:tcPr>
            <w:tcW w:w="1417" w:type="dxa"/>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p>
        </w:tc>
      </w:tr>
      <w:tr w:rsidR="00BB12F1" w:rsidRPr="008E77AF" w:rsidTr="00BB12F1">
        <w:trPr>
          <w:trHeight w:val="220"/>
        </w:trPr>
        <w:tc>
          <w:tcPr>
            <w:tcW w:w="567" w:type="dxa"/>
            <w:shd w:val="clear" w:color="auto" w:fill="auto"/>
            <w:vAlign w:val="center"/>
          </w:tcPr>
          <w:p w:rsidR="00BB12F1" w:rsidRDefault="00BB12F1"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3.</w:t>
            </w:r>
          </w:p>
        </w:tc>
        <w:tc>
          <w:tcPr>
            <w:tcW w:w="8222" w:type="dxa"/>
            <w:gridSpan w:val="2"/>
            <w:shd w:val="clear" w:color="auto" w:fill="auto"/>
            <w:vAlign w:val="center"/>
          </w:tcPr>
          <w:p w:rsidR="00BB12F1" w:rsidRPr="00B81F6C" w:rsidRDefault="00BB12F1" w:rsidP="003676CC">
            <w:pPr>
              <w:suppressAutoHyphens/>
              <w:jc w:val="both"/>
              <w:rPr>
                <w:rFonts w:ascii="Times New Roman" w:eastAsia="Calibri" w:hAnsi="Times New Roman" w:cs="Calibri"/>
                <w:lang w:eastAsia="ar-SA"/>
              </w:rPr>
            </w:pPr>
          </w:p>
        </w:tc>
        <w:tc>
          <w:tcPr>
            <w:tcW w:w="1417" w:type="dxa"/>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p>
        </w:tc>
      </w:tr>
      <w:tr w:rsidR="00BB12F1" w:rsidRPr="008E77AF" w:rsidTr="00BB12F1">
        <w:trPr>
          <w:trHeight w:val="220"/>
        </w:trPr>
        <w:tc>
          <w:tcPr>
            <w:tcW w:w="567" w:type="dxa"/>
            <w:shd w:val="clear" w:color="auto" w:fill="auto"/>
            <w:vAlign w:val="center"/>
          </w:tcPr>
          <w:p w:rsidR="00BB12F1" w:rsidRDefault="00BB12F1"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4.</w:t>
            </w:r>
          </w:p>
        </w:tc>
        <w:tc>
          <w:tcPr>
            <w:tcW w:w="8222" w:type="dxa"/>
            <w:gridSpan w:val="2"/>
            <w:shd w:val="clear" w:color="auto" w:fill="auto"/>
            <w:vAlign w:val="center"/>
          </w:tcPr>
          <w:p w:rsidR="00BB12F1" w:rsidRPr="00B81F6C" w:rsidRDefault="00BB12F1" w:rsidP="003676CC">
            <w:pPr>
              <w:suppressAutoHyphens/>
              <w:jc w:val="both"/>
              <w:rPr>
                <w:rFonts w:ascii="Times New Roman" w:eastAsia="Calibri" w:hAnsi="Times New Roman" w:cs="Calibri"/>
                <w:lang w:eastAsia="ar-SA"/>
              </w:rPr>
            </w:pPr>
          </w:p>
        </w:tc>
        <w:tc>
          <w:tcPr>
            <w:tcW w:w="1417" w:type="dxa"/>
            <w:shd w:val="clear" w:color="auto" w:fill="auto"/>
            <w:vAlign w:val="center"/>
          </w:tcPr>
          <w:p w:rsidR="00BB12F1" w:rsidRPr="008E77AF" w:rsidRDefault="00BB12F1" w:rsidP="003676CC">
            <w:pPr>
              <w:suppressAutoHyphens/>
              <w:jc w:val="both"/>
              <w:rPr>
                <w:rFonts w:ascii="Times New Roman" w:eastAsia="Calibri" w:hAnsi="Times New Roman" w:cs="Calibri"/>
                <w:lang w:eastAsia="ar-SA"/>
              </w:rPr>
            </w:pPr>
          </w:p>
        </w:tc>
      </w:tr>
      <w:tr w:rsidR="00BB12F1" w:rsidRPr="008E77AF" w:rsidTr="00BB12F1">
        <w:trPr>
          <w:trHeight w:val="220"/>
        </w:trPr>
        <w:tc>
          <w:tcPr>
            <w:tcW w:w="567" w:type="dxa"/>
            <w:shd w:val="clear" w:color="auto" w:fill="auto"/>
            <w:vAlign w:val="center"/>
          </w:tcPr>
          <w:p w:rsidR="00BB12F1" w:rsidRDefault="00BB12F1" w:rsidP="003676CC">
            <w:pPr>
              <w:suppressAutoHyphens/>
              <w:jc w:val="both"/>
              <w:rPr>
                <w:rFonts w:ascii="Times New Roman" w:eastAsia="Calibri" w:hAnsi="Times New Roman" w:cs="Calibri"/>
                <w:lang w:eastAsia="ar-SA"/>
              </w:rPr>
            </w:pPr>
            <w:r>
              <w:rPr>
                <w:rFonts w:ascii="Times New Roman" w:eastAsia="Calibri" w:hAnsi="Times New Roman" w:cs="Calibri"/>
                <w:lang w:eastAsia="ar-SA"/>
              </w:rPr>
              <w:t xml:space="preserve"> 5.</w:t>
            </w:r>
          </w:p>
        </w:tc>
        <w:tc>
          <w:tcPr>
            <w:tcW w:w="8222" w:type="dxa"/>
            <w:gridSpan w:val="2"/>
            <w:shd w:val="clear" w:color="auto" w:fill="auto"/>
            <w:vAlign w:val="center"/>
          </w:tcPr>
          <w:p w:rsidR="00BB12F1" w:rsidRDefault="00BB12F1" w:rsidP="003676CC">
            <w:pPr>
              <w:suppressAutoHyphens/>
              <w:jc w:val="both"/>
              <w:rPr>
                <w:rFonts w:ascii="Times New Roman" w:eastAsia="Calibri" w:hAnsi="Times New Roman" w:cs="Calibri"/>
                <w:lang w:eastAsia="ar-SA"/>
              </w:rPr>
            </w:pPr>
          </w:p>
        </w:tc>
        <w:tc>
          <w:tcPr>
            <w:tcW w:w="1417" w:type="dxa"/>
            <w:shd w:val="clear" w:color="auto" w:fill="auto"/>
            <w:vAlign w:val="center"/>
          </w:tcPr>
          <w:p w:rsidR="00BB12F1" w:rsidRDefault="00BB12F1" w:rsidP="003676CC">
            <w:pPr>
              <w:suppressAutoHyphens/>
              <w:jc w:val="both"/>
              <w:rPr>
                <w:rFonts w:ascii="Times New Roman" w:eastAsia="Calibri" w:hAnsi="Times New Roman" w:cs="Calibri"/>
                <w:lang w:eastAsia="ar-SA"/>
              </w:rPr>
            </w:pPr>
          </w:p>
        </w:tc>
      </w:tr>
      <w:tr w:rsidR="00BB12F1" w:rsidRPr="008E77AF" w:rsidTr="00BB12F1">
        <w:trPr>
          <w:trHeight w:val="438"/>
        </w:trPr>
        <w:tc>
          <w:tcPr>
            <w:tcW w:w="8777" w:type="dxa"/>
            <w:gridSpan w:val="2"/>
            <w:shd w:val="clear" w:color="auto" w:fill="auto"/>
            <w:vAlign w:val="center"/>
          </w:tcPr>
          <w:p w:rsidR="00BB12F1" w:rsidRPr="008E77AF" w:rsidRDefault="00BB12F1" w:rsidP="00BB12F1">
            <w:pPr>
              <w:suppressAutoHyphens/>
              <w:jc w:val="both"/>
              <w:rPr>
                <w:rFonts w:ascii="Times New Roman" w:eastAsia="Calibri" w:hAnsi="Times New Roman" w:cs="Calibri"/>
                <w:b/>
                <w:lang w:eastAsia="ar-SA"/>
              </w:rPr>
            </w:pP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Стоимость с НДС  (НМЦД) руб.</w:t>
            </w:r>
          </w:p>
        </w:tc>
        <w:tc>
          <w:tcPr>
            <w:tcW w:w="1429" w:type="dxa"/>
            <w:gridSpan w:val="2"/>
            <w:shd w:val="clear" w:color="auto" w:fill="auto"/>
            <w:vAlign w:val="center"/>
          </w:tcPr>
          <w:p w:rsidR="00BB12F1" w:rsidRPr="008E77AF" w:rsidRDefault="00BB12F1" w:rsidP="00BB12F1">
            <w:pPr>
              <w:suppressAutoHyphens/>
              <w:jc w:val="both"/>
              <w:rPr>
                <w:rFonts w:ascii="Times New Roman" w:eastAsia="Calibri" w:hAnsi="Times New Roman" w:cs="Calibri"/>
                <w:b/>
                <w:lang w:eastAsia="ar-SA"/>
              </w:rPr>
            </w:pPr>
            <w:r>
              <w:rPr>
                <w:rFonts w:ascii="Times New Roman" w:eastAsia="Calibri" w:hAnsi="Times New Roman" w:cs="Calibri"/>
                <w:b/>
                <w:lang w:eastAsia="ar-SA"/>
              </w:rPr>
              <w:t xml:space="preserve">  </w:t>
            </w: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EC3231" w:rsidP="00480988">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w:t>
      </w:r>
      <w:r w:rsidR="00BB12F1">
        <w:rPr>
          <w:rFonts w:ascii="Times New Roman" w:hAnsi="Times New Roman" w:cs="Times New Roman"/>
          <w:b/>
          <w:highlight w:val="yellow"/>
        </w:rPr>
        <w:t>4</w:t>
      </w:r>
      <w:r w:rsidRPr="00EC3231">
        <w:rPr>
          <w:rFonts w:ascii="Times New Roman" w:hAnsi="Times New Roman" w:cs="Times New Roman"/>
          <w:b/>
          <w:highlight w:val="yellow"/>
        </w:rPr>
        <w:t xml:space="preserve">.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BB12F1">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BB12F1" w:rsidRDefault="00EC3231" w:rsidP="00BB12F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BB12F1">
        <w:rPr>
          <w:rFonts w:ascii="Times New Roman" w:eastAsia="Calibri" w:hAnsi="Times New Roman" w:cs="Times New Roman"/>
          <w:b/>
          <w:sz w:val="24"/>
          <w:szCs w:val="24"/>
          <w:lang w:eastAsia="zh-CN"/>
        </w:rPr>
        <w:t>6</w:t>
      </w:r>
      <w:r w:rsidR="004A5C14" w:rsidRPr="001B4074">
        <w:rPr>
          <w:rFonts w:ascii="Times New Roman" w:eastAsia="Calibri" w:hAnsi="Times New Roman" w:cs="Times New Roman"/>
          <w:b/>
          <w:sz w:val="24"/>
          <w:szCs w:val="24"/>
          <w:lang w:eastAsia="zh-CN"/>
        </w:rPr>
        <w:t>.</w:t>
      </w:r>
      <w:r w:rsidR="00BB12F1">
        <w:rPr>
          <w:rFonts w:ascii="Times New Roman" w:eastAsia="Calibri" w:hAnsi="Times New Roman" w:cs="Times New Roman"/>
          <w:b/>
          <w:sz w:val="24"/>
          <w:szCs w:val="24"/>
          <w:lang w:eastAsia="zh-CN"/>
        </w:rPr>
        <w:t xml:space="preserve"> </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p>
    <w:p w:rsidR="004A5C14" w:rsidRPr="001B4074" w:rsidRDefault="004A5C14" w:rsidP="00BB12F1">
      <w:pPr>
        <w:pStyle w:val="a5"/>
        <w:ind w:left="0"/>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3078"/>
        <w:gridCol w:w="1487"/>
      </w:tblGrid>
      <w:tr w:rsidR="00D22A18" w:rsidRPr="001B4074" w:rsidTr="00BB12F1">
        <w:trPr>
          <w:trHeight w:val="283"/>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23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BB12F1">
        <w:trPr>
          <w:trHeight w:val="397"/>
        </w:trPr>
        <w:tc>
          <w:tcPr>
            <w:tcW w:w="278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97"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2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BB12F1" w:rsidRDefault="00BB12F1" w:rsidP="00BD0A56">
      <w:pPr>
        <w:spacing w:after="0" w:line="240" w:lineRule="auto"/>
        <w:ind w:firstLine="567"/>
        <w:jc w:val="both"/>
        <w:rPr>
          <w:rFonts w:ascii="Times New Roman" w:hAnsi="Times New Roman" w:cs="Times New Roman"/>
          <w:i/>
          <w:sz w:val="24"/>
          <w:szCs w:val="24"/>
        </w:rPr>
      </w:pPr>
    </w:p>
    <w:p w:rsidR="00BB12F1" w:rsidRDefault="00BB12F1" w:rsidP="00BD0A56">
      <w:pPr>
        <w:spacing w:after="0" w:line="240" w:lineRule="auto"/>
        <w:ind w:firstLine="567"/>
        <w:jc w:val="both"/>
        <w:rPr>
          <w:rFonts w:ascii="Times New Roman" w:hAnsi="Times New Roman" w:cs="Times New Roman"/>
          <w:i/>
          <w:sz w:val="24"/>
          <w:szCs w:val="24"/>
        </w:rPr>
      </w:pPr>
    </w:p>
    <w:p w:rsidR="00BB12F1" w:rsidRDefault="00BB12F1" w:rsidP="00BD0A56">
      <w:pPr>
        <w:spacing w:after="0" w:line="240" w:lineRule="auto"/>
        <w:ind w:firstLine="567"/>
        <w:jc w:val="both"/>
        <w:rPr>
          <w:rFonts w:ascii="Times New Roman" w:hAnsi="Times New Roman" w:cs="Times New Roman"/>
          <w:i/>
          <w:sz w:val="24"/>
          <w:szCs w:val="24"/>
        </w:rPr>
      </w:pPr>
    </w:p>
    <w:p w:rsidR="00BB12F1" w:rsidRDefault="00BB12F1" w:rsidP="00BD0A56">
      <w:pPr>
        <w:spacing w:after="0" w:line="240" w:lineRule="auto"/>
        <w:ind w:firstLine="567"/>
        <w:jc w:val="both"/>
        <w:rPr>
          <w:rFonts w:ascii="Times New Roman" w:hAnsi="Times New Roman" w:cs="Times New Roman"/>
          <w:i/>
          <w:sz w:val="24"/>
          <w:szCs w:val="24"/>
        </w:rPr>
      </w:pPr>
    </w:p>
    <w:p w:rsidR="00BB12F1" w:rsidRDefault="00BB12F1" w:rsidP="00BD0A56">
      <w:pPr>
        <w:spacing w:after="0" w:line="240" w:lineRule="auto"/>
        <w:ind w:firstLine="567"/>
        <w:jc w:val="both"/>
        <w:rPr>
          <w:rFonts w:ascii="Times New Roman" w:hAnsi="Times New Roman" w:cs="Times New Roman"/>
          <w:i/>
          <w:sz w:val="24"/>
          <w:szCs w:val="24"/>
        </w:rPr>
      </w:pPr>
    </w:p>
    <w:p w:rsidR="00BB12F1" w:rsidRDefault="00BB12F1" w:rsidP="00BD0A56">
      <w:pPr>
        <w:spacing w:after="0" w:line="240" w:lineRule="auto"/>
        <w:ind w:firstLine="567"/>
        <w:jc w:val="both"/>
        <w:rPr>
          <w:rFonts w:ascii="Times New Roman" w:hAnsi="Times New Roman" w:cs="Times New Roman"/>
          <w:i/>
          <w:sz w:val="24"/>
          <w:szCs w:val="24"/>
        </w:rPr>
      </w:pPr>
    </w:p>
    <w:p w:rsidR="00BB12F1" w:rsidRDefault="00BB12F1"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lastRenderedPageBreak/>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BB12F1" w:rsidRDefault="00BB12F1" w:rsidP="00536C84">
      <w:pPr>
        <w:spacing w:after="0" w:line="240" w:lineRule="auto"/>
        <w:ind w:firstLine="567"/>
        <w:jc w:val="both"/>
        <w:rPr>
          <w:rFonts w:ascii="Times New Roman" w:hAnsi="Times New Roman" w:cs="Times New Roman"/>
          <w:i/>
        </w:rPr>
      </w:pPr>
    </w:p>
    <w:p w:rsidR="00BB12F1" w:rsidRDefault="00BB12F1" w:rsidP="00536C84">
      <w:pPr>
        <w:spacing w:after="0" w:line="240" w:lineRule="auto"/>
        <w:ind w:firstLine="567"/>
        <w:jc w:val="both"/>
        <w:rPr>
          <w:rFonts w:ascii="Times New Roman" w:hAnsi="Times New Roman" w:cs="Times New Roman"/>
          <w:i/>
        </w:rPr>
      </w:pPr>
    </w:p>
    <w:p w:rsidR="00BB12F1" w:rsidRDefault="00BB12F1"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2"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 xml:space="preserve">дств с </w:t>
      </w:r>
      <w:r w:rsidRPr="005B735D">
        <w:rPr>
          <w:rFonts w:ascii="Times New Roman" w:hAnsi="Times New Roman" w:cs="Times New Roman"/>
          <w:color w:val="000000" w:themeColor="text1"/>
        </w:rPr>
        <w:lastRenderedPageBreak/>
        <w:t>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3"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w:t>
      </w:r>
      <w:r w:rsidRPr="005B735D">
        <w:rPr>
          <w:rFonts w:ascii="Times New Roman" w:eastAsia="Times New Roman" w:hAnsi="Times New Roman" w:cs="Times New Roman"/>
          <w:color w:val="000000" w:themeColor="text1"/>
        </w:rPr>
        <w:lastRenderedPageBreak/>
        <w:t>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 xml:space="preserve">Покупатель вправе </w:t>
      </w:r>
      <w:r w:rsidRPr="005B735D">
        <w:rPr>
          <w:rFonts w:ascii="Times New Roman" w:hAnsi="Times New Roman" w:cs="Times New Roman"/>
          <w:color w:val="000000" w:themeColor="text1"/>
        </w:rPr>
        <w:lastRenderedPageBreak/>
        <w:t>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w:t>
      </w:r>
      <w:r w:rsidRPr="005B735D">
        <w:rPr>
          <w:rFonts w:ascii="Times New Roman" w:eastAsia="Times New Roman" w:hAnsi="Times New Roman" w:cs="Times New Roman"/>
          <w:color w:val="000000" w:themeColor="text1"/>
        </w:rPr>
        <w:lastRenderedPageBreak/>
        <w:t>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w:t>
      </w:r>
      <w:r w:rsidRPr="005B735D">
        <w:rPr>
          <w:rFonts w:ascii="Times New Roman" w:eastAsia="Times New Roman" w:hAnsi="Times New Roman" w:cs="Times New Roman"/>
          <w:color w:val="000000" w:themeColor="text1"/>
        </w:rPr>
        <w:lastRenderedPageBreak/>
        <w:t xml:space="preserve">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4"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w:t>
      </w:r>
      <w:r w:rsidRPr="005B735D">
        <w:rPr>
          <w:rFonts w:ascii="Times New Roman" w:eastAsia="Times New Roman" w:hAnsi="Times New Roman" w:cs="Times New Roman"/>
          <w:color w:val="000000" w:themeColor="text1"/>
        </w:rPr>
        <w:lastRenderedPageBreak/>
        <w:t>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BB12F1">
      <w:pgSz w:w="11906" w:h="16838"/>
      <w:pgMar w:top="568" w:right="849"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37" w:rsidRDefault="006D2037" w:rsidP="00045E6F">
      <w:pPr>
        <w:spacing w:after="0" w:line="240" w:lineRule="auto"/>
      </w:pPr>
      <w:r>
        <w:separator/>
      </w:r>
    </w:p>
  </w:endnote>
  <w:endnote w:type="continuationSeparator" w:id="0">
    <w:p w:rsidR="006D2037" w:rsidRDefault="006D203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37" w:rsidRDefault="006D2037" w:rsidP="00045E6F">
      <w:pPr>
        <w:spacing w:after="0" w:line="240" w:lineRule="auto"/>
      </w:pPr>
      <w:r>
        <w:separator/>
      </w:r>
    </w:p>
  </w:footnote>
  <w:footnote w:type="continuationSeparator" w:id="0">
    <w:p w:rsidR="006D2037" w:rsidRDefault="006D2037" w:rsidP="00045E6F">
      <w:pPr>
        <w:spacing w:after="0" w:line="240" w:lineRule="auto"/>
      </w:pPr>
      <w:r>
        <w:continuationSeparator/>
      </w:r>
    </w:p>
  </w:footnote>
  <w:footnote w:id="1">
    <w:p w:rsidR="006D2037" w:rsidRDefault="006D2037" w:rsidP="004A5C14"/>
    <w:p w:rsidR="006D2037" w:rsidRPr="006A4B85" w:rsidRDefault="006D203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2A69"/>
    <w:rsid w:val="00004755"/>
    <w:rsid w:val="00022968"/>
    <w:rsid w:val="000327FF"/>
    <w:rsid w:val="00037522"/>
    <w:rsid w:val="00045E6F"/>
    <w:rsid w:val="00056469"/>
    <w:rsid w:val="00094B26"/>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3F7EDE"/>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9699D"/>
    <w:rsid w:val="006A1178"/>
    <w:rsid w:val="006C427B"/>
    <w:rsid w:val="006D0938"/>
    <w:rsid w:val="006D2037"/>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D1565"/>
    <w:rsid w:val="00900A8A"/>
    <w:rsid w:val="00910AD0"/>
    <w:rsid w:val="00923D28"/>
    <w:rsid w:val="00930534"/>
    <w:rsid w:val="00931460"/>
    <w:rsid w:val="00950AFC"/>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B12F1"/>
    <w:rsid w:val="00BD083F"/>
    <w:rsid w:val="00BD0A56"/>
    <w:rsid w:val="00C05563"/>
    <w:rsid w:val="00C1774E"/>
    <w:rsid w:val="00C2417B"/>
    <w:rsid w:val="00C55C08"/>
    <w:rsid w:val="00C64C1B"/>
    <w:rsid w:val="00C94A5E"/>
    <w:rsid w:val="00CC7662"/>
    <w:rsid w:val="00D22A18"/>
    <w:rsid w:val="00D63BFC"/>
    <w:rsid w:val="00D7134F"/>
    <w:rsid w:val="00D907ED"/>
    <w:rsid w:val="00DE682E"/>
    <w:rsid w:val="00E12877"/>
    <w:rsid w:val="00E342F6"/>
    <w:rsid w:val="00E35D9E"/>
    <w:rsid w:val="00E43678"/>
    <w:rsid w:val="00E72C2B"/>
    <w:rsid w:val="00EC154B"/>
    <w:rsid w:val="00EC3231"/>
    <w:rsid w:val="00EC7149"/>
    <w:rsid w:val="00EE2801"/>
    <w:rsid w:val="00EE4DC0"/>
    <w:rsid w:val="00EF5C86"/>
    <w:rsid w:val="00F020B1"/>
    <w:rsid w:val="00F1124E"/>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www.cbr.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mailto:shipyard@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4BB6-0F67-4385-AE89-DBE4DD16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30</Pages>
  <Words>13028</Words>
  <Characters>74261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30</cp:revision>
  <dcterms:created xsi:type="dcterms:W3CDTF">2024-12-17T08:33:00Z</dcterms:created>
  <dcterms:modified xsi:type="dcterms:W3CDTF">2025-06-30T10:49:00Z</dcterms:modified>
</cp:coreProperties>
</file>