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4E3945" w:rsidRDefault="00E10DB1" w:rsidP="008D243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 xml:space="preserve">НА </w:t>
      </w:r>
      <w:r w:rsidR="004E3945">
        <w:rPr>
          <w:rFonts w:ascii="Times New Roman" w:eastAsia="Times New Roman" w:hAnsi="Times New Roman" w:cs="Times New Roman"/>
          <w:b/>
          <w:sz w:val="28"/>
          <w:szCs w:val="28"/>
        </w:rPr>
        <w:t xml:space="preserve">ЗАКУПКУ </w:t>
      </w:r>
      <w:r w:rsidR="00CF2BE4">
        <w:rPr>
          <w:rFonts w:ascii="Times New Roman" w:eastAsia="Times New Roman" w:hAnsi="Times New Roman" w:cs="Times New Roman"/>
          <w:b/>
          <w:sz w:val="28"/>
          <w:szCs w:val="28"/>
        </w:rPr>
        <w:t xml:space="preserve">ЛИСТОВОГО МЕТАЛЛОПРОКАТА </w:t>
      </w:r>
      <w:r w:rsidR="00BC0904">
        <w:rPr>
          <w:rFonts w:ascii="Times New Roman" w:eastAsia="Times New Roman" w:hAnsi="Times New Roman" w:cs="Times New Roman"/>
          <w:b/>
          <w:sz w:val="28"/>
          <w:szCs w:val="28"/>
        </w:rPr>
        <w:br/>
      </w:r>
      <w:r w:rsidR="00CF2BE4">
        <w:rPr>
          <w:rFonts w:ascii="Times New Roman" w:eastAsia="Times New Roman" w:hAnsi="Times New Roman" w:cs="Times New Roman"/>
          <w:b/>
          <w:sz w:val="28"/>
          <w:szCs w:val="28"/>
        </w:rPr>
        <w:t>(ЛИСТ 30 ММ) ДЛЯ ОСНАСТКИ ПРОЕКТА №23900</w:t>
      </w:r>
      <w:r w:rsidR="004E3945">
        <w:rPr>
          <w:rFonts w:ascii="Times New Roman" w:eastAsia="Times New Roman" w:hAnsi="Times New Roman" w:cs="Times New Roman"/>
          <w:b/>
          <w:sz w:val="28"/>
          <w:szCs w:val="28"/>
        </w:rPr>
        <w:t xml:space="preserve"> ЗАКАЗА </w:t>
      </w:r>
      <w:r w:rsidR="00CF2BE4">
        <w:rPr>
          <w:rFonts w:ascii="Times New Roman" w:eastAsia="Times New Roman" w:hAnsi="Times New Roman" w:cs="Times New Roman"/>
          <w:b/>
          <w:sz w:val="28"/>
          <w:szCs w:val="28"/>
        </w:rPr>
        <w:t>№</w:t>
      </w:r>
      <w:r w:rsidR="004E3945">
        <w:rPr>
          <w:rFonts w:ascii="Times New Roman" w:eastAsia="Times New Roman" w:hAnsi="Times New Roman" w:cs="Times New Roman"/>
          <w:b/>
          <w:sz w:val="28"/>
          <w:szCs w:val="28"/>
        </w:rPr>
        <w:t>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8D2434" w:rsidRDefault="008D243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8D243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w:t>
      </w:r>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4</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CF2BE4">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proofErr w:type="spellStart"/>
      <w:r w:rsidR="00CF2BE4">
        <w:rPr>
          <w:rFonts w:ascii="Times New Roman" w:hAnsi="Times New Roman" w:cs="Times New Roman"/>
          <w:sz w:val="24"/>
          <w:szCs w:val="24"/>
        </w:rPr>
        <w:t>Шарафоненко</w:t>
      </w:r>
      <w:proofErr w:type="spellEnd"/>
      <w:r w:rsidR="00CF2BE4">
        <w:rPr>
          <w:rFonts w:ascii="Times New Roman" w:hAnsi="Times New Roman" w:cs="Times New Roman"/>
          <w:sz w:val="24"/>
          <w:szCs w:val="24"/>
        </w:rPr>
        <w:t xml:space="preserve"> Ирина Витальевна</w:t>
      </w:r>
      <w:r w:rsidR="00721BFF">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CF2BE4" w:rsidRPr="00CF2BE4">
        <w:rPr>
          <w:rFonts w:ascii="Times New Roman" w:hAnsi="Times New Roman" w:cs="Times New Roman"/>
          <w:sz w:val="24"/>
          <w:szCs w:val="24"/>
        </w:rPr>
        <w:t>листового металлопроката (лист 30 мм) для оснастки проекта №23900 заказа №901</w:t>
      </w:r>
      <w:r w:rsidR="00CF2BE4"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E95159">
        <w:rPr>
          <w:rFonts w:eastAsia="Courier New"/>
          <w:spacing w:val="-4"/>
          <w:sz w:val="24"/>
          <w:szCs w:val="24"/>
        </w:rPr>
        <w:t>в течение 14</w:t>
      </w:r>
      <w:r w:rsidR="00987C00">
        <w:rPr>
          <w:rFonts w:eastAsia="Courier New"/>
          <w:spacing w:val="-4"/>
          <w:sz w:val="24"/>
          <w:szCs w:val="24"/>
        </w:rPr>
        <w:t xml:space="preserve"> (</w:t>
      </w:r>
      <w:r w:rsidR="00E95159">
        <w:rPr>
          <w:rFonts w:eastAsia="Courier New"/>
          <w:spacing w:val="-4"/>
          <w:sz w:val="24"/>
          <w:szCs w:val="24"/>
        </w:rPr>
        <w:t>четырнадцати</w:t>
      </w:r>
      <w:r w:rsidR="00987C00">
        <w:rPr>
          <w:rFonts w:eastAsia="Courier New"/>
          <w:spacing w:val="-4"/>
          <w:sz w:val="24"/>
          <w:szCs w:val="24"/>
        </w:rPr>
        <w:t xml:space="preserve">) календарных дней с момента </w:t>
      </w:r>
      <w:r w:rsidR="003149F2">
        <w:rPr>
          <w:rFonts w:eastAsia="Courier New"/>
          <w:spacing w:val="-4"/>
          <w:sz w:val="24"/>
          <w:szCs w:val="24"/>
        </w:rPr>
        <w:t>авансового платежа</w:t>
      </w:r>
      <w:r w:rsidR="00D60F84" w:rsidRPr="00D60F84">
        <w:rPr>
          <w:rFonts w:eastAsia="Courier New"/>
          <w:spacing w:val="-4"/>
          <w:sz w:val="24"/>
          <w:szCs w:val="24"/>
        </w:rPr>
        <w:t xml:space="preserve">, с возможностью досрочной поставки на АО «Судостроительный завод имени </w:t>
      </w:r>
      <w:r w:rsidR="003149F2">
        <w:rPr>
          <w:rFonts w:eastAsia="Courier New"/>
          <w:spacing w:val="-4"/>
          <w:sz w:val="24"/>
          <w:szCs w:val="24"/>
        </w:rPr>
        <w:br/>
      </w:r>
      <w:r w:rsidR="00D60F84" w:rsidRPr="00D60F84">
        <w:rPr>
          <w:rFonts w:eastAsia="Courier New"/>
          <w:spacing w:val="-4"/>
          <w:sz w:val="24"/>
          <w:szCs w:val="24"/>
        </w:rPr>
        <w:t>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E95159" w:rsidRPr="00C71634" w:rsidRDefault="00A01071" w:rsidP="00E95159">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E95159" w:rsidRPr="00C71634">
        <w:rPr>
          <w:sz w:val="24"/>
          <w:szCs w:val="24"/>
          <w:shd w:val="clear" w:color="auto" w:fill="FFFFFF"/>
        </w:rPr>
        <w:t xml:space="preserve">. Доставка товара на </w:t>
      </w:r>
      <w:r w:rsidR="00E95159">
        <w:rPr>
          <w:sz w:val="24"/>
          <w:szCs w:val="24"/>
          <w:shd w:val="clear" w:color="auto" w:fill="FFFFFF"/>
        </w:rPr>
        <w:t xml:space="preserve">склад Покупателя осуществляется </w:t>
      </w:r>
      <w:r w:rsidR="00E95159" w:rsidRPr="00C71634">
        <w:rPr>
          <w:sz w:val="24"/>
          <w:szCs w:val="24"/>
          <w:shd w:val="clear" w:color="auto" w:fill="FFFFFF"/>
        </w:rPr>
        <w:t>силами и за счет Поставщика.</w:t>
      </w:r>
    </w:p>
    <w:p w:rsidR="005C4CBB" w:rsidRPr="00C71634" w:rsidRDefault="005C4CBB" w:rsidP="00E95159">
      <w:pPr>
        <w:pStyle w:val="af3"/>
        <w:widowControl w:val="0"/>
        <w:tabs>
          <w:tab w:val="left" w:pos="142"/>
        </w:tabs>
        <w:ind w:firstLine="567"/>
        <w:jc w:val="both"/>
        <w:rPr>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8D2434">
        <w:rPr>
          <w:b/>
          <w:sz w:val="24"/>
          <w:szCs w:val="24"/>
        </w:rPr>
        <w:t xml:space="preserve">: </w:t>
      </w:r>
      <w:r w:rsidR="000F4D47">
        <w:rPr>
          <w:sz w:val="24"/>
          <w:szCs w:val="24"/>
        </w:rPr>
        <w:t>643 728,43</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C0904">
        <w:rPr>
          <w:rFonts w:ascii="Times New Roman" w:hAnsi="Times New Roman" w:cs="Times New Roman"/>
          <w:sz w:val="24"/>
          <w:szCs w:val="24"/>
          <w:u w:val="single"/>
        </w:rPr>
        <w:t>02</w:t>
      </w:r>
      <w:r w:rsidR="00987C00">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C21FA7">
        <w:rPr>
          <w:rFonts w:ascii="Times New Roman" w:hAnsi="Times New Roman" w:cs="Times New Roman"/>
          <w:sz w:val="24"/>
          <w:szCs w:val="24"/>
          <w:u w:val="single"/>
        </w:rPr>
        <w:t>15:00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C0904">
        <w:rPr>
          <w:rFonts w:ascii="Times New Roman" w:hAnsi="Times New Roman" w:cs="Times New Roman"/>
          <w:sz w:val="24"/>
          <w:szCs w:val="24"/>
          <w:u w:val="single"/>
        </w:rPr>
        <w:t>11</w:t>
      </w:r>
      <w:r w:rsidR="00987C00">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987C00" w:rsidRDefault="00BC0904"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02</w:t>
            </w:r>
            <w:r w:rsidR="00987C00">
              <w:rPr>
                <w:rFonts w:ascii="Times New Roman" w:hAnsi="Times New Roman" w:cs="Times New Roman"/>
                <w:sz w:val="24"/>
                <w:szCs w:val="24"/>
              </w:rPr>
              <w:t>.04</w:t>
            </w:r>
            <w:r w:rsidR="008D2434" w:rsidRPr="008D2434">
              <w:rPr>
                <w:rFonts w:ascii="Times New Roman" w:hAnsi="Times New Roman" w:cs="Times New Roman"/>
                <w:sz w:val="24"/>
                <w:szCs w:val="24"/>
              </w:rPr>
              <w:t xml:space="preserve">.2024 </w:t>
            </w:r>
            <w:r w:rsidR="00C21FA7">
              <w:rPr>
                <w:rFonts w:ascii="Times New Roman" w:hAnsi="Times New Roman" w:cs="Times New Roman"/>
                <w:sz w:val="24"/>
                <w:szCs w:val="24"/>
              </w:rPr>
              <w:t xml:space="preserve">15:00 </w:t>
            </w:r>
            <w:r w:rsidR="008D2434" w:rsidRPr="008D2434">
              <w:rPr>
                <w:rFonts w:ascii="Times New Roman" w:hAnsi="Times New Roman" w:cs="Times New Roman"/>
                <w:sz w:val="24"/>
                <w:szCs w:val="24"/>
              </w:rPr>
              <w:t>час (</w:t>
            </w:r>
            <w:proofErr w:type="spellStart"/>
            <w:proofErr w:type="gramStart"/>
            <w:r w:rsidR="008D2434" w:rsidRPr="008D2434">
              <w:rPr>
                <w:rFonts w:ascii="Times New Roman" w:hAnsi="Times New Roman" w:cs="Times New Roman"/>
                <w:sz w:val="24"/>
                <w:szCs w:val="24"/>
              </w:rPr>
              <w:t>мск</w:t>
            </w:r>
            <w:proofErr w:type="spellEnd"/>
            <w:proofErr w:type="gramEnd"/>
            <w:r w:rsidR="008D2434" w:rsidRPr="008D2434">
              <w:rPr>
                <w:rFonts w:ascii="Times New Roman" w:hAnsi="Times New Roman" w:cs="Times New Roman"/>
                <w:sz w:val="24"/>
                <w:szCs w:val="24"/>
              </w:rPr>
              <w:t xml:space="preserve">). </w:t>
            </w:r>
          </w:p>
          <w:p w:rsidR="00C64906" w:rsidRPr="008D2434" w:rsidRDefault="00BC0904"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11</w:t>
            </w:r>
            <w:r w:rsidR="00987C00">
              <w:rPr>
                <w:rFonts w:ascii="Times New Roman" w:hAnsi="Times New Roman" w:cs="Times New Roman"/>
                <w:sz w:val="24"/>
                <w:szCs w:val="24"/>
              </w:rPr>
              <w:t>.04</w:t>
            </w:r>
            <w:r w:rsidR="008D2434" w:rsidRPr="008D2434">
              <w:rPr>
                <w:rFonts w:ascii="Times New Roman" w:hAnsi="Times New Roman" w:cs="Times New Roman"/>
                <w:sz w:val="24"/>
                <w:szCs w:val="24"/>
              </w:rPr>
              <w:t>.2024 10:00 час (</w:t>
            </w:r>
            <w:proofErr w:type="spellStart"/>
            <w:proofErr w:type="gramStart"/>
            <w:r w:rsidR="008D2434" w:rsidRPr="008D2434">
              <w:rPr>
                <w:rFonts w:ascii="Times New Roman" w:hAnsi="Times New Roman" w:cs="Times New Roman"/>
                <w:sz w:val="24"/>
                <w:szCs w:val="24"/>
              </w:rPr>
              <w:t>мск</w:t>
            </w:r>
            <w:proofErr w:type="spellEnd"/>
            <w:proofErr w:type="gramEnd"/>
            <w:r w:rsidR="008D2434" w:rsidRPr="008D243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C090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C090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C090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C090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C0904">
        <w:rPr>
          <w:rFonts w:ascii="Times New Roman" w:hAnsi="Times New Roman" w:cs="Times New Roman"/>
          <w:sz w:val="24"/>
          <w:szCs w:val="24"/>
          <w:u w:val="single"/>
        </w:rPr>
        <w:t>17</w:t>
      </w:r>
      <w:bookmarkStart w:id="0" w:name="_GoBack"/>
      <w:bookmarkEnd w:id="0"/>
      <w:r w:rsidR="005F7F05">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3149F2"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3149F2">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3149F2">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95159">
        <w:rPr>
          <w:rFonts w:ascii="Times New Roman" w:eastAsia="DejaVu Sans" w:hAnsi="Times New Roman" w:cs="Times New Roman"/>
          <w:sz w:val="24"/>
          <w:szCs w:val="24"/>
        </w:rPr>
        <w:t>2</w:t>
      </w:r>
      <w:r w:rsidR="003149F2">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E95159">
        <w:rPr>
          <w:rFonts w:ascii="Times New Roman" w:eastAsia="DejaVu Sans" w:hAnsi="Times New Roman" w:cs="Times New Roman"/>
          <w:sz w:val="24"/>
          <w:szCs w:val="24"/>
        </w:rPr>
        <w:t>двадцати</w:t>
      </w:r>
      <w:r w:rsidR="003149F2">
        <w:rPr>
          <w:rFonts w:ascii="Times New Roman" w:eastAsia="DejaVu Sans" w:hAnsi="Times New Roman" w:cs="Times New Roman"/>
          <w:sz w:val="24"/>
          <w:szCs w:val="24"/>
        </w:rPr>
        <w:t xml:space="preserve">) </w:t>
      </w:r>
      <w:r w:rsidR="00E95159">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w:t>
      </w:r>
      <w:r w:rsidR="00E95159">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r>
        <w:rPr>
          <w:rFonts w:ascii="Times New Roman" w:eastAsia="DejaVu Sans" w:hAnsi="Times New Roman" w:cs="Times New Roman"/>
          <w:sz w:val="24"/>
          <w:szCs w:val="24"/>
        </w:rPr>
        <w:t xml:space="preserve"> </w:t>
      </w:r>
    </w:p>
    <w:p w:rsidR="00CE7643" w:rsidRPr="005F7F05" w:rsidRDefault="005B20FD" w:rsidP="005F7F0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D32C8E" w:rsidRPr="005F7F05" w:rsidRDefault="00CE7643" w:rsidP="005F7F05">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5F7F05" w:rsidRDefault="005F7F05"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721BFF" w:rsidRDefault="00721BFF"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721BFF" w:rsidRDefault="00721BFF"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Default="003A77CF" w:rsidP="005C4CBB">
      <w:pPr>
        <w:jc w:val="right"/>
        <w:outlineLvl w:val="0"/>
        <w:rPr>
          <w:rFonts w:ascii="Times New Roman" w:hAnsi="Times New Roman" w:cs="Times New Roman"/>
          <w:bCs/>
          <w:color w:val="000000"/>
          <w:sz w:val="24"/>
          <w:szCs w:val="24"/>
        </w:rPr>
      </w:pPr>
    </w:p>
    <w:p w:rsidR="00F23C6F" w:rsidRPr="00830E0B" w:rsidRDefault="00F23C6F" w:rsidP="00F23C6F">
      <w:pPr>
        <w:pStyle w:val="ConsPlusTitle"/>
        <w:widowControl/>
        <w:ind w:left="-709"/>
        <w:rPr>
          <w:rFonts w:ascii="Times New Roman" w:hAnsi="Times New Roman" w:cs="Times New Roman"/>
          <w:b w:val="0"/>
        </w:rPr>
      </w:pPr>
    </w:p>
    <w:p w:rsidR="00922B94" w:rsidRPr="00666BFE" w:rsidRDefault="00922B94" w:rsidP="00922B94">
      <w:pPr>
        <w:spacing w:after="0" w:line="240" w:lineRule="auto"/>
        <w:jc w:val="center"/>
        <w:rPr>
          <w:rFonts w:ascii="Times New Roman" w:hAnsi="Times New Roman"/>
          <w:b/>
        </w:rPr>
      </w:pPr>
      <w:r w:rsidRPr="00666BFE">
        <w:rPr>
          <w:rFonts w:ascii="Times New Roman" w:hAnsi="Times New Roman"/>
          <w:b/>
        </w:rPr>
        <w:t>Техническое задание</w:t>
      </w:r>
    </w:p>
    <w:p w:rsidR="00922B94" w:rsidRDefault="00922B94" w:rsidP="00922B9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 (лист 30мм) </w:t>
      </w:r>
      <w:r w:rsidRPr="00666BFE">
        <w:rPr>
          <w:rFonts w:ascii="Times New Roman" w:hAnsi="Times New Roman"/>
          <w:b/>
        </w:rPr>
        <w:t>для</w:t>
      </w:r>
      <w:r>
        <w:rPr>
          <w:rFonts w:ascii="Times New Roman" w:hAnsi="Times New Roman"/>
          <w:b/>
        </w:rPr>
        <w:t xml:space="preserve"> оснастки</w:t>
      </w:r>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901</w:t>
      </w:r>
    </w:p>
    <w:p w:rsidR="00007E7E" w:rsidRPr="00666BFE" w:rsidRDefault="00007E7E" w:rsidP="00922B94">
      <w:pPr>
        <w:spacing w:after="0" w:line="240" w:lineRule="auto"/>
        <w:jc w:val="center"/>
        <w:rPr>
          <w:rFonts w:ascii="Times New Roman" w:hAnsi="Times New Roman"/>
          <w:b/>
        </w:rPr>
      </w:pPr>
    </w:p>
    <w:p w:rsidR="00922B94" w:rsidRPr="00666BFE" w:rsidRDefault="00922B94" w:rsidP="00922B9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922B94" w:rsidRPr="00126EEE" w:rsidRDefault="00922B94" w:rsidP="00460150">
      <w:pPr>
        <w:spacing w:after="0" w:line="240" w:lineRule="auto"/>
        <w:ind w:firstLine="567"/>
        <w:contextualSpacing/>
        <w:jc w:val="both"/>
        <w:rPr>
          <w:rFonts w:ascii="Times New Roman" w:hAnsi="Times New Roman"/>
          <w:sz w:val="21"/>
          <w:szCs w:val="21"/>
        </w:rPr>
      </w:pPr>
      <w:r w:rsidRPr="00666BFE">
        <w:rPr>
          <w:rFonts w:ascii="Times New Roman" w:hAnsi="Times New Roman"/>
        </w:rPr>
        <w:t>1.1. Предметом настоящего Технического задания является поставка</w:t>
      </w:r>
      <w:r>
        <w:rPr>
          <w:rFonts w:ascii="Times New Roman" w:hAnsi="Times New Roman"/>
        </w:rPr>
        <w:t xml:space="preserve"> металлопроката</w:t>
      </w:r>
      <w:r w:rsidRPr="00666BFE">
        <w:rPr>
          <w:rFonts w:ascii="Times New Roman" w:hAnsi="Times New Roman"/>
        </w:rPr>
        <w:t xml:space="preserve"> для </w:t>
      </w:r>
      <w:r>
        <w:rPr>
          <w:rFonts w:ascii="Times New Roman" w:hAnsi="Times New Roman"/>
        </w:rPr>
        <w:t xml:space="preserve">оснастки  согласно КО </w:t>
      </w:r>
      <w:r>
        <w:rPr>
          <w:rFonts w:ascii="Times New Roman" w:hAnsi="Times New Roman"/>
          <w:lang w:val="en-US"/>
        </w:rPr>
        <w:t>B</w:t>
      </w:r>
      <w:r>
        <w:rPr>
          <w:rFonts w:ascii="Times New Roman" w:hAnsi="Times New Roman"/>
        </w:rPr>
        <w:t xml:space="preserve">-1150 </w:t>
      </w:r>
      <w:r w:rsidRPr="00666BFE">
        <w:rPr>
          <w:rFonts w:ascii="Times New Roman" w:hAnsi="Times New Roman"/>
        </w:rPr>
        <w:t xml:space="preserve">(далее – Товар) в </w:t>
      </w:r>
      <w:r w:rsidRPr="00666BFE">
        <w:rPr>
          <w:rFonts w:ascii="Times New Roman" w:eastAsia="Courier New" w:hAnsi="Times New Roman"/>
          <w:color w:val="000000"/>
        </w:rPr>
        <w:t>целях выполнения государственного оборонного заказа</w:t>
      </w:r>
      <w:r>
        <w:rPr>
          <w:rFonts w:ascii="Times New Roman" w:eastAsia="Courier New" w:hAnsi="Times New Roman"/>
          <w:color w:val="000000"/>
        </w:rPr>
        <w:t>.</w:t>
      </w:r>
      <w:r w:rsidRPr="00666BFE">
        <w:rPr>
          <w:rFonts w:ascii="Times New Roman" w:eastAsia="Courier New" w:hAnsi="Times New Roman"/>
          <w:color w:val="000000"/>
        </w:rPr>
        <w:t xml:space="preserve"> </w:t>
      </w:r>
    </w:p>
    <w:p w:rsidR="00922B94" w:rsidRPr="00666BFE" w:rsidRDefault="00922B94" w:rsidP="00922B94">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922B94" w:rsidRPr="00666BFE" w:rsidRDefault="00922B94" w:rsidP="00922B94">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006D3193">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14</w:t>
      </w:r>
      <w:r w:rsidRPr="00666BFE">
        <w:rPr>
          <w:rFonts w:ascii="Times New Roman" w:hAnsi="Times New Roman"/>
          <w:color w:val="000000"/>
        </w:rPr>
        <w:t xml:space="preserve"> (</w:t>
      </w:r>
      <w:r>
        <w:rPr>
          <w:rFonts w:ascii="Times New Roman" w:hAnsi="Times New Roman"/>
          <w:color w:val="000000"/>
        </w:rPr>
        <w:t>четырнадцати</w:t>
      </w:r>
      <w:r w:rsidRPr="00666BFE">
        <w:rPr>
          <w:rFonts w:ascii="Times New Roman" w:hAnsi="Times New Roman"/>
          <w:color w:val="000000"/>
        </w:rPr>
        <w:t>) календарных дней с момента оплаты авансового платежа</w:t>
      </w:r>
      <w:r>
        <w:rPr>
          <w:rFonts w:ascii="Times New Roman" w:hAnsi="Times New Roman"/>
          <w:color w:val="000000"/>
        </w:rPr>
        <w:t xml:space="preserve"> в размере 80%</w:t>
      </w:r>
      <w:r w:rsidRPr="00666BFE">
        <w:rPr>
          <w:rFonts w:ascii="Times New Roman" w:hAnsi="Times New Roman"/>
          <w:color w:val="000000"/>
        </w:rPr>
        <w:t>.</w:t>
      </w:r>
    </w:p>
    <w:p w:rsidR="00922B94" w:rsidRPr="00666BFE" w:rsidRDefault="00922B94" w:rsidP="00922B9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w:t>
      </w:r>
    </w:p>
    <w:p w:rsidR="00922B94" w:rsidRPr="00666BFE" w:rsidRDefault="00922B94" w:rsidP="00922B94">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tbl>
      <w:tblPr>
        <w:tblW w:w="5000" w:type="pct"/>
        <w:tblLayout w:type="fixed"/>
        <w:tblLook w:val="04A0" w:firstRow="1" w:lastRow="0" w:firstColumn="1" w:lastColumn="0" w:noHBand="0" w:noVBand="1"/>
      </w:tblPr>
      <w:tblGrid>
        <w:gridCol w:w="5262"/>
        <w:gridCol w:w="1809"/>
        <w:gridCol w:w="1137"/>
        <w:gridCol w:w="2496"/>
      </w:tblGrid>
      <w:tr w:rsidR="00922B94" w:rsidRPr="00126EEE" w:rsidTr="004D0FA7">
        <w:trPr>
          <w:trHeight w:val="315"/>
        </w:trPr>
        <w:tc>
          <w:tcPr>
            <w:tcW w:w="245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jc w:val="center"/>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Наименование</w:t>
            </w:r>
          </w:p>
        </w:tc>
        <w:tc>
          <w:tcPr>
            <w:tcW w:w="8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22B94" w:rsidRPr="00126EEE" w:rsidRDefault="00922B94" w:rsidP="004D0FA7">
            <w:pPr>
              <w:spacing w:after="0" w:line="240" w:lineRule="auto"/>
              <w:jc w:val="center"/>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 xml:space="preserve">Кол-во, </w:t>
            </w:r>
            <w:proofErr w:type="gramStart"/>
            <w:r w:rsidRPr="00126EEE">
              <w:rPr>
                <w:rFonts w:ascii="Times New Roman" w:eastAsia="Times New Roman" w:hAnsi="Times New Roman"/>
                <w:color w:val="000000"/>
                <w:sz w:val="24"/>
                <w:szCs w:val="24"/>
                <w:lang w:eastAsia="ru-RU"/>
              </w:rPr>
              <w:t>кг</w:t>
            </w:r>
            <w:proofErr w:type="gramEnd"/>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22B94" w:rsidRPr="00126EEE" w:rsidRDefault="00922B94" w:rsidP="004D0FA7">
            <w:pPr>
              <w:spacing w:after="0" w:line="240" w:lineRule="auto"/>
              <w:jc w:val="center"/>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 xml:space="preserve">Цена с НДС 20% за ед. </w:t>
            </w:r>
            <w:proofErr w:type="spellStart"/>
            <w:r w:rsidRPr="00126EEE">
              <w:rPr>
                <w:rFonts w:ascii="Times New Roman" w:eastAsia="Times New Roman" w:hAnsi="Times New Roman"/>
                <w:color w:val="000000"/>
                <w:sz w:val="24"/>
                <w:szCs w:val="24"/>
                <w:lang w:eastAsia="ru-RU"/>
              </w:rPr>
              <w:t>изм</w:t>
            </w:r>
            <w:proofErr w:type="spellEnd"/>
          </w:p>
        </w:tc>
        <w:tc>
          <w:tcPr>
            <w:tcW w:w="116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22B94" w:rsidRPr="00126EEE" w:rsidRDefault="00922B94" w:rsidP="004D0FA7">
            <w:pPr>
              <w:spacing w:after="0" w:line="240" w:lineRule="auto"/>
              <w:jc w:val="center"/>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Стоимость с НДС</w:t>
            </w:r>
          </w:p>
        </w:tc>
      </w:tr>
      <w:tr w:rsidR="00922B94" w:rsidRPr="00126EEE" w:rsidTr="004D0FA7">
        <w:trPr>
          <w:trHeight w:val="690"/>
        </w:trPr>
        <w:tc>
          <w:tcPr>
            <w:tcW w:w="2458" w:type="pct"/>
            <w:vMerge/>
            <w:tcBorders>
              <w:top w:val="single" w:sz="4" w:space="0" w:color="auto"/>
              <w:left w:val="single" w:sz="4" w:space="0" w:color="auto"/>
              <w:bottom w:val="single" w:sz="4" w:space="0" w:color="auto"/>
              <w:right w:val="single" w:sz="4" w:space="0" w:color="auto"/>
            </w:tcBorders>
            <w:vAlign w:val="center"/>
            <w:hideMark/>
          </w:tcPr>
          <w:p w:rsidR="00922B94" w:rsidRPr="00126EEE" w:rsidRDefault="00922B94" w:rsidP="004D0FA7">
            <w:pPr>
              <w:spacing w:after="0" w:line="240" w:lineRule="auto"/>
              <w:rPr>
                <w:rFonts w:ascii="Times New Roman" w:eastAsia="Times New Roman" w:hAnsi="Times New Roman"/>
                <w:color w:val="000000"/>
                <w:sz w:val="24"/>
                <w:szCs w:val="24"/>
                <w:lang w:eastAsia="ru-RU"/>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rsidR="00922B94" w:rsidRPr="00126EEE" w:rsidRDefault="00922B94" w:rsidP="004D0FA7">
            <w:pPr>
              <w:spacing w:after="0" w:line="240" w:lineRule="auto"/>
              <w:rPr>
                <w:rFonts w:ascii="Times New Roman" w:eastAsia="Times New Roman" w:hAnsi="Times New Roman"/>
                <w:color w:val="000000"/>
                <w:sz w:val="24"/>
                <w:szCs w:val="24"/>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922B94" w:rsidRPr="00126EEE" w:rsidRDefault="00922B94" w:rsidP="004D0FA7">
            <w:pPr>
              <w:spacing w:after="0" w:line="240" w:lineRule="auto"/>
              <w:rPr>
                <w:rFonts w:ascii="Times New Roman" w:eastAsia="Times New Roman" w:hAnsi="Times New Roman"/>
                <w:color w:val="000000"/>
                <w:sz w:val="24"/>
                <w:szCs w:val="24"/>
                <w:lang w:eastAsia="ru-RU"/>
              </w:rPr>
            </w:pPr>
          </w:p>
        </w:tc>
        <w:tc>
          <w:tcPr>
            <w:tcW w:w="1166" w:type="pct"/>
            <w:vMerge/>
            <w:tcBorders>
              <w:top w:val="single" w:sz="4" w:space="0" w:color="auto"/>
              <w:left w:val="single" w:sz="4" w:space="0" w:color="auto"/>
              <w:bottom w:val="single" w:sz="4" w:space="0" w:color="000000"/>
              <w:right w:val="single" w:sz="4" w:space="0" w:color="auto"/>
            </w:tcBorders>
            <w:vAlign w:val="center"/>
            <w:hideMark/>
          </w:tcPr>
          <w:p w:rsidR="00922B94" w:rsidRPr="00126EEE" w:rsidRDefault="00922B94" w:rsidP="004D0FA7">
            <w:pPr>
              <w:spacing w:after="0" w:line="240" w:lineRule="auto"/>
              <w:rPr>
                <w:rFonts w:ascii="Times New Roman" w:eastAsia="Times New Roman" w:hAnsi="Times New Roman"/>
                <w:color w:val="000000"/>
                <w:sz w:val="24"/>
                <w:szCs w:val="24"/>
                <w:lang w:eastAsia="ru-RU"/>
              </w:rPr>
            </w:pPr>
          </w:p>
        </w:tc>
      </w:tr>
      <w:tr w:rsidR="00922B94" w:rsidRPr="00126EEE" w:rsidTr="004D0FA7">
        <w:trPr>
          <w:trHeight w:val="630"/>
        </w:trPr>
        <w:tc>
          <w:tcPr>
            <w:tcW w:w="2458" w:type="pct"/>
            <w:tcBorders>
              <w:top w:val="nil"/>
              <w:left w:val="single" w:sz="4" w:space="0" w:color="auto"/>
              <w:bottom w:val="single" w:sz="4" w:space="0" w:color="auto"/>
              <w:right w:val="single" w:sz="4" w:space="0" w:color="auto"/>
            </w:tcBorders>
            <w:shd w:val="clear" w:color="FFFFFF" w:fill="FFFFFF"/>
            <w:hideMark/>
          </w:tcPr>
          <w:p w:rsidR="00922B94" w:rsidRPr="00126EEE" w:rsidRDefault="00922B94" w:rsidP="004D0FA7">
            <w:pPr>
              <w:spacing w:after="0" w:line="240" w:lineRule="auto"/>
              <w:rPr>
                <w:rFonts w:ascii="Times New Roman" w:eastAsia="Times New Roman" w:hAnsi="Times New Roman"/>
                <w:color w:val="3B3B3B"/>
                <w:sz w:val="24"/>
                <w:szCs w:val="24"/>
                <w:lang w:eastAsia="ru-RU"/>
              </w:rPr>
            </w:pPr>
            <w:r w:rsidRPr="00126EEE">
              <w:rPr>
                <w:rFonts w:ascii="Times New Roman" w:eastAsia="Times New Roman" w:hAnsi="Times New Roman"/>
                <w:color w:val="3B3B3B"/>
                <w:sz w:val="24"/>
                <w:szCs w:val="24"/>
                <w:lang w:eastAsia="ru-RU"/>
              </w:rPr>
              <w:t xml:space="preserve">Лист </w:t>
            </w:r>
            <w:proofErr w:type="gramStart"/>
            <w:r w:rsidRPr="00126EEE">
              <w:rPr>
                <w:rFonts w:ascii="Times New Roman" w:eastAsia="Times New Roman" w:hAnsi="Times New Roman"/>
                <w:color w:val="3B3B3B"/>
                <w:sz w:val="24"/>
                <w:szCs w:val="24"/>
                <w:lang w:eastAsia="ru-RU"/>
              </w:rPr>
              <w:t>г</w:t>
            </w:r>
            <w:proofErr w:type="gramEnd"/>
            <w:r w:rsidRPr="00126EEE">
              <w:rPr>
                <w:rFonts w:ascii="Times New Roman" w:eastAsia="Times New Roman" w:hAnsi="Times New Roman"/>
                <w:color w:val="3B3B3B"/>
                <w:sz w:val="24"/>
                <w:szCs w:val="24"/>
                <w:lang w:eastAsia="ru-RU"/>
              </w:rPr>
              <w:t>/к 30х1500х6000мм ст3 ГОСТ 19903-90/14637</w:t>
            </w:r>
          </w:p>
        </w:tc>
        <w:tc>
          <w:tcPr>
            <w:tcW w:w="845" w:type="pct"/>
            <w:tcBorders>
              <w:top w:val="nil"/>
              <w:left w:val="nil"/>
              <w:bottom w:val="single" w:sz="4" w:space="0" w:color="auto"/>
              <w:right w:val="single" w:sz="4" w:space="0" w:color="auto"/>
            </w:tcBorders>
            <w:shd w:val="clear" w:color="000000" w:fill="FFFFFF"/>
            <w:noWrap/>
            <w:vAlign w:val="bottom"/>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6 358,00</w:t>
            </w:r>
          </w:p>
        </w:tc>
        <w:tc>
          <w:tcPr>
            <w:tcW w:w="530" w:type="pct"/>
            <w:tcBorders>
              <w:top w:val="nil"/>
              <w:left w:val="nil"/>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101,25</w:t>
            </w:r>
          </w:p>
        </w:tc>
        <w:tc>
          <w:tcPr>
            <w:tcW w:w="1166" w:type="pct"/>
            <w:tcBorders>
              <w:top w:val="nil"/>
              <w:left w:val="nil"/>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643 728,43</w:t>
            </w:r>
          </w:p>
        </w:tc>
      </w:tr>
      <w:tr w:rsidR="00922B94" w:rsidRPr="00126EEE" w:rsidTr="004D0FA7">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 </w:t>
            </w:r>
          </w:p>
        </w:tc>
        <w:tc>
          <w:tcPr>
            <w:tcW w:w="845" w:type="pct"/>
            <w:tcBorders>
              <w:top w:val="single" w:sz="4" w:space="0" w:color="auto"/>
              <w:left w:val="nil"/>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6 358,00</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 </w:t>
            </w: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sidRPr="00126EEE">
              <w:rPr>
                <w:rFonts w:ascii="Times New Roman" w:eastAsia="Times New Roman" w:hAnsi="Times New Roman"/>
                <w:color w:val="000000"/>
                <w:sz w:val="24"/>
                <w:szCs w:val="24"/>
                <w:lang w:eastAsia="ru-RU"/>
              </w:rPr>
              <w:t>643 728,43</w:t>
            </w:r>
          </w:p>
        </w:tc>
      </w:tr>
      <w:tr w:rsidR="00922B94" w:rsidRPr="00126EEE" w:rsidTr="004D0FA7">
        <w:trPr>
          <w:trHeight w:val="315"/>
        </w:trPr>
        <w:tc>
          <w:tcPr>
            <w:tcW w:w="383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 ч НДС 20%</w:t>
            </w:r>
          </w:p>
        </w:tc>
        <w:tc>
          <w:tcPr>
            <w:tcW w:w="1166" w:type="pct"/>
            <w:tcBorders>
              <w:top w:val="single" w:sz="4" w:space="0" w:color="auto"/>
              <w:left w:val="nil"/>
              <w:bottom w:val="single" w:sz="4" w:space="0" w:color="auto"/>
              <w:right w:val="single" w:sz="4" w:space="0" w:color="auto"/>
            </w:tcBorders>
            <w:shd w:val="clear" w:color="auto" w:fill="auto"/>
            <w:noWrap/>
            <w:vAlign w:val="bottom"/>
          </w:tcPr>
          <w:p w:rsidR="00922B94" w:rsidRPr="00126EEE" w:rsidRDefault="00922B94" w:rsidP="004D0FA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107 288,07</w:t>
            </w:r>
          </w:p>
        </w:tc>
      </w:tr>
    </w:tbl>
    <w:p w:rsidR="00922B94" w:rsidRPr="00666BFE" w:rsidRDefault="00922B94" w:rsidP="00922B94">
      <w:pPr>
        <w:spacing w:line="240" w:lineRule="auto"/>
        <w:ind w:left="-993" w:hanging="11"/>
        <w:contextualSpacing/>
        <w:jc w:val="both"/>
        <w:rPr>
          <w:rFonts w:ascii="Times New Roman" w:hAnsi="Times New Roman"/>
        </w:rPr>
      </w:pPr>
    </w:p>
    <w:p w:rsidR="00922B94" w:rsidRPr="009C26F1" w:rsidRDefault="00922B94" w:rsidP="00922B94">
      <w:pPr>
        <w:pStyle w:val="af5"/>
        <w:widowControl w:val="0"/>
        <w:suppressAutoHyphens/>
        <w:spacing w:after="0" w:line="240" w:lineRule="auto"/>
        <w:ind w:left="0" w:firstLine="567"/>
        <w:jc w:val="both"/>
        <w:rPr>
          <w:rFonts w:ascii="Times New Roman" w:eastAsia="Courier New" w:hAnsi="Times New Roman"/>
          <w:sz w:val="24"/>
        </w:rPr>
      </w:pPr>
      <w:r w:rsidRPr="00126EEE">
        <w:rPr>
          <w:rFonts w:ascii="Times New Roman" w:hAnsi="Times New Roman"/>
        </w:rPr>
        <w:t>1.7.</w:t>
      </w:r>
      <w:r>
        <w:rPr>
          <w:rFonts w:ascii="Times New Roman" w:hAnsi="Times New Roman"/>
          <w:b/>
        </w:rPr>
        <w:t xml:space="preserve"> </w:t>
      </w:r>
      <w:r w:rsidRPr="002036C6">
        <w:rPr>
          <w:rFonts w:ascii="Times New Roman" w:eastAsia="Times New Roman" w:hAnsi="Times New Roman"/>
          <w:sz w:val="24"/>
        </w:rPr>
        <w:t xml:space="preserve">Возможен </w:t>
      </w:r>
      <w:proofErr w:type="spellStart"/>
      <w:r w:rsidRPr="002036C6">
        <w:rPr>
          <w:rFonts w:ascii="Times New Roman" w:eastAsia="Times New Roman" w:hAnsi="Times New Roman"/>
          <w:sz w:val="24"/>
        </w:rPr>
        <w:t>толеранс</w:t>
      </w:r>
      <w:proofErr w:type="spellEnd"/>
      <w:r w:rsidRPr="002036C6">
        <w:rPr>
          <w:rFonts w:ascii="Times New Roman" w:eastAsia="Times New Roman" w:hAnsi="Times New Roman"/>
          <w:sz w:val="24"/>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2036C6">
        <w:rPr>
          <w:rFonts w:ascii="Times New Roman" w:eastAsia="Times New Roman" w:hAnsi="Times New Roman"/>
          <w:sz w:val="24"/>
        </w:rPr>
        <w:t>согласно</w:t>
      </w:r>
      <w:proofErr w:type="gramEnd"/>
      <w:r w:rsidRPr="002036C6">
        <w:rPr>
          <w:rFonts w:ascii="Times New Roman" w:eastAsia="Times New Roman" w:hAnsi="Times New Roman"/>
          <w:sz w:val="24"/>
        </w:rPr>
        <w:t xml:space="preserve"> фактического объема поставки.</w:t>
      </w:r>
    </w:p>
    <w:p w:rsidR="00922B94" w:rsidRPr="00666BFE" w:rsidRDefault="00922B94" w:rsidP="00922B9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922B94" w:rsidRPr="00666BFE" w:rsidRDefault="00922B94" w:rsidP="00922B9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22B94" w:rsidRPr="00666BFE" w:rsidRDefault="00922B94" w:rsidP="00922B9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22B94" w:rsidRPr="00666BFE" w:rsidRDefault="00922B94" w:rsidP="00922B9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922B94" w:rsidRPr="00666BFE" w:rsidRDefault="00922B94" w:rsidP="00922B9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22B94" w:rsidRPr="00666BFE" w:rsidRDefault="00922B94" w:rsidP="00922B9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922B94" w:rsidRPr="00666BFE" w:rsidRDefault="00922B94" w:rsidP="00922B9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22B94" w:rsidRPr="00666BFE" w:rsidRDefault="00922B94" w:rsidP="00922B9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2023г</w:t>
      </w:r>
      <w:r w:rsidRPr="00666BFE">
        <w:rPr>
          <w:rFonts w:ascii="Times New Roman" w:hAnsi="Times New Roman"/>
        </w:rPr>
        <w:t xml:space="preserve">ода,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922B94" w:rsidRPr="00666BFE" w:rsidRDefault="00922B94" w:rsidP="00922B9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922B94" w:rsidRPr="00666BFE" w:rsidRDefault="00922B94" w:rsidP="00922B9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922B94" w:rsidRPr="00666BFE" w:rsidRDefault="00922B94" w:rsidP="00922B9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922B94" w:rsidRPr="00666BFE" w:rsidRDefault="00922B94" w:rsidP="00922B9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r>
        <w:rPr>
          <w:rFonts w:ascii="Times New Roman" w:eastAsia="Times New Roman" w:hAnsi="Times New Roman"/>
          <w:color w:val="000000"/>
        </w:rPr>
        <w:t>.</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922B94" w:rsidRPr="00666BFE" w:rsidRDefault="00922B94" w:rsidP="00922B9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922B94" w:rsidRPr="00666BFE" w:rsidRDefault="00922B94" w:rsidP="00922B9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922B94" w:rsidRPr="00666BFE" w:rsidRDefault="00922B94" w:rsidP="00922B9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922B94" w:rsidRPr="00666BFE" w:rsidRDefault="00922B94" w:rsidP="00922B94">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22B94" w:rsidRPr="00666BFE" w:rsidRDefault="00922B94" w:rsidP="00922B9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922B94" w:rsidRPr="00666BFE" w:rsidRDefault="00922B94" w:rsidP="00922B9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 xml:space="preserve">10 (десяти) </w:t>
      </w:r>
      <w:r w:rsidRPr="00666BFE">
        <w:rPr>
          <w:rFonts w:ascii="Times New Roman" w:hAnsi="Times New Roman"/>
          <w:color w:val="000000"/>
        </w:rPr>
        <w:t xml:space="preserve">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80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922B94" w:rsidRPr="00666BFE" w:rsidRDefault="00922B94" w:rsidP="00922B9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 xml:space="preserve">латежей, производится в течение 20 </w:t>
      </w:r>
      <w:r w:rsidRPr="00666BFE">
        <w:rPr>
          <w:rFonts w:ascii="Times New Roman" w:eastAsia="DejaVu Sans" w:hAnsi="Times New Roman"/>
          <w:color w:val="000000"/>
        </w:rPr>
        <w:t>(</w:t>
      </w:r>
      <w:r>
        <w:rPr>
          <w:rFonts w:ascii="Times New Roman" w:eastAsia="DejaVu Sans" w:hAnsi="Times New Roman"/>
          <w:color w:val="000000"/>
        </w:rPr>
        <w:t>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922B94" w:rsidRPr="00666BFE" w:rsidRDefault="00922B94" w:rsidP="00922B9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w:t>
      </w:r>
      <w:r>
        <w:rPr>
          <w:rFonts w:ascii="Times New Roman" w:eastAsia="DejaVu Sans" w:hAnsi="Times New Roman"/>
          <w:color w:val="000000"/>
        </w:rPr>
        <w:t>вора</w:t>
      </w:r>
      <w:r w:rsidRPr="00666BFE">
        <w:rPr>
          <w:rFonts w:ascii="Times New Roman" w:eastAsia="DejaVu Sans" w:hAnsi="Times New Roman"/>
          <w:color w:val="000000"/>
        </w:rPr>
        <w:t>.</w:t>
      </w:r>
    </w:p>
    <w:p w:rsidR="00922B94" w:rsidRPr="00666BFE" w:rsidRDefault="00922B94" w:rsidP="00922B9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922B94" w:rsidRPr="00666BFE" w:rsidRDefault="00922B94" w:rsidP="00922B9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22B94" w:rsidRPr="00666BFE" w:rsidRDefault="00922B94" w:rsidP="00922B9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xml:space="preserve">.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666BFE">
        <w:rPr>
          <w:rFonts w:ascii="Times New Roman" w:eastAsia="Times New Roman" w:hAnsi="Times New Roman"/>
          <w:color w:val="000000"/>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22B94" w:rsidRPr="00666BFE" w:rsidRDefault="00922B94" w:rsidP="00922B9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922B94" w:rsidRPr="00666BFE" w:rsidRDefault="00922B94" w:rsidP="00922B9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922B94" w:rsidRPr="00666BFE" w:rsidRDefault="00922B94" w:rsidP="00922B9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922B94" w:rsidRPr="00666BFE" w:rsidRDefault="00922B94" w:rsidP="00922B9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22B94" w:rsidRPr="00666BFE" w:rsidRDefault="00922B94" w:rsidP="00922B94">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22B94" w:rsidRDefault="00922B94" w:rsidP="00922B94">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922B94" w:rsidRPr="007E406A" w:rsidRDefault="00922B94" w:rsidP="00922B94">
      <w:pPr>
        <w:tabs>
          <w:tab w:val="left" w:pos="-284"/>
          <w:tab w:val="left" w:pos="426"/>
        </w:tabs>
        <w:spacing w:after="0" w:line="240" w:lineRule="auto"/>
        <w:ind w:firstLine="567"/>
        <w:jc w:val="both"/>
        <w:rPr>
          <w:rFonts w:ascii="Times New Roman" w:hAnsi="Times New Roman"/>
          <w:color w:val="000000"/>
        </w:rPr>
      </w:pPr>
      <w:r w:rsidRPr="007E406A">
        <w:rPr>
          <w:rFonts w:ascii="Times New Roman" w:hAnsi="Times New Roman"/>
          <w:color w:val="000000"/>
        </w:rPr>
        <w:t>-</w:t>
      </w:r>
      <w:r w:rsidRPr="007E406A">
        <w:rPr>
          <w:rFonts w:ascii="Times New Roman" w:hAnsi="Times New Roman"/>
          <w:color w:val="808080"/>
          <w:lang w:val="x-none"/>
        </w:rPr>
        <w:t xml:space="preserve"> </w:t>
      </w:r>
      <w:r w:rsidRPr="007E406A">
        <w:rPr>
          <w:rFonts w:ascii="Times New Roman" w:hAnsi="Times New Roman"/>
          <w:color w:val="000000"/>
          <w:lang w:val="x-none"/>
        </w:rPr>
        <w:t>выписку из сервиса оценки юридических лиц (ИФНС)</w:t>
      </w:r>
      <w:r w:rsidRPr="007E406A">
        <w:rPr>
          <w:rFonts w:ascii="Times New Roman" w:hAnsi="Times New Roman"/>
          <w:color w:val="000000"/>
        </w:rPr>
        <w:t>;</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Устав;</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22B94" w:rsidRPr="00666BFE" w:rsidRDefault="00922B94" w:rsidP="00922B94">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922B94" w:rsidRPr="00666BFE" w:rsidRDefault="00922B94" w:rsidP="00922B94">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22B94" w:rsidRPr="00666BFE" w:rsidRDefault="00922B94" w:rsidP="00922B9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922B94" w:rsidRPr="00666BFE" w:rsidRDefault="00922B94" w:rsidP="00922B9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922B94" w:rsidRPr="00666BFE" w:rsidRDefault="00922B94" w:rsidP="00922B94">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922B94" w:rsidRPr="00666BFE" w:rsidRDefault="00922B94" w:rsidP="00922B9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922B94" w:rsidRPr="00666BFE" w:rsidRDefault="00922B94" w:rsidP="00922B94">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22B94" w:rsidRPr="00666BFE" w:rsidRDefault="00922B94" w:rsidP="00922B94">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Pr="00666BFE">
        <w:rPr>
          <w:rFonts w:ascii="Times New Roman" w:hAnsi="Times New Roman"/>
          <w:color w:val="000000"/>
        </w:rPr>
        <w:lastRenderedPageBreak/>
        <w:t xml:space="preserve">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23C6F" w:rsidRPr="00830E0B" w:rsidRDefault="00F23C6F" w:rsidP="00F23C6F">
      <w:pPr>
        <w:spacing w:line="240" w:lineRule="auto"/>
        <w:ind w:left="-992" w:firstLine="567"/>
        <w:contextualSpacing/>
        <w:jc w:val="both"/>
        <w:rPr>
          <w:rFonts w:ascii="Times New Roman" w:hAnsi="Times New Roman"/>
        </w:rPr>
      </w:pPr>
    </w:p>
    <w:p w:rsidR="00F23C6F" w:rsidRPr="00830E0B" w:rsidRDefault="00F23C6F" w:rsidP="00F23C6F">
      <w:pPr>
        <w:spacing w:after="0" w:line="240" w:lineRule="auto"/>
        <w:ind w:firstLine="567"/>
        <w:contextualSpacing/>
        <w:jc w:val="both"/>
        <w:rPr>
          <w:rFonts w:ascii="Times New Roman" w:hAnsi="Times New Roman"/>
        </w:rPr>
      </w:pPr>
    </w:p>
    <w:p w:rsidR="005F7F05" w:rsidRDefault="005F7F05"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Default="00F23C6F" w:rsidP="005F7F05">
      <w:pPr>
        <w:spacing w:after="0" w:line="240" w:lineRule="auto"/>
        <w:ind w:firstLine="567"/>
        <w:contextualSpacing/>
        <w:jc w:val="both"/>
        <w:rPr>
          <w:rFonts w:ascii="Times New Roman" w:hAnsi="Times New Roman"/>
        </w:rPr>
      </w:pPr>
    </w:p>
    <w:p w:rsidR="00F23C6F" w:rsidRPr="00666BFE" w:rsidRDefault="00F23C6F" w:rsidP="005F7F05">
      <w:pPr>
        <w:spacing w:after="0" w:line="240" w:lineRule="auto"/>
        <w:ind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2158E6" w:rsidRDefault="002158E6" w:rsidP="005C4CBB">
      <w:pPr>
        <w:jc w:val="right"/>
        <w:outlineLvl w:val="0"/>
        <w:rPr>
          <w:rFonts w:ascii="Times New Roman" w:hAnsi="Times New Roman" w:cs="Times New Roman"/>
          <w:bCs/>
          <w:color w:val="000000"/>
          <w:sz w:val="24"/>
          <w:szCs w:val="24"/>
        </w:rPr>
      </w:pPr>
    </w:p>
    <w:p w:rsidR="002158E6" w:rsidRDefault="002158E6"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F23C6F" w:rsidRDefault="00F23C6F" w:rsidP="00F23C6F">
      <w:pPr>
        <w:tabs>
          <w:tab w:val="left" w:pos="284"/>
        </w:tabs>
        <w:jc w:val="both"/>
        <w:rPr>
          <w:rFonts w:ascii="Times New Roman" w:hAnsi="Times New Roman" w:cs="Times New Roman"/>
          <w:b/>
          <w:sz w:val="24"/>
          <w:szCs w:val="24"/>
        </w:rPr>
      </w:pPr>
      <w:r w:rsidRPr="00F23C6F">
        <w:rPr>
          <w:rFonts w:ascii="Times New Roman" w:hAnsi="Times New Roman" w:cs="Times New Roman"/>
          <w:b/>
          <w:sz w:val="24"/>
          <w:szCs w:val="24"/>
        </w:rPr>
        <w:t>1.</w:t>
      </w:r>
      <w:r w:rsidR="001C77C5">
        <w:rPr>
          <w:rFonts w:ascii="Times New Roman" w:hAnsi="Times New Roman" w:cs="Times New Roman"/>
          <w:b/>
          <w:sz w:val="24"/>
          <w:szCs w:val="24"/>
        </w:rPr>
        <w:t xml:space="preserve">1.  </w:t>
      </w:r>
      <w:proofErr w:type="spellStart"/>
      <w:r w:rsidR="001C77C5">
        <w:rPr>
          <w:rFonts w:ascii="Times New Roman" w:hAnsi="Times New Roman" w:cs="Times New Roman"/>
          <w:b/>
          <w:sz w:val="24"/>
          <w:szCs w:val="24"/>
        </w:rPr>
        <w:t>Толеранс</w:t>
      </w:r>
      <w:proofErr w:type="spellEnd"/>
      <w:r w:rsidR="001C77C5">
        <w:rPr>
          <w:rFonts w:ascii="Times New Roman" w:hAnsi="Times New Roman" w:cs="Times New Roman"/>
          <w:b/>
          <w:sz w:val="24"/>
          <w:szCs w:val="24"/>
        </w:rPr>
        <w:t>: -3%</w:t>
      </w:r>
      <w:r>
        <w:rPr>
          <w:rFonts w:ascii="Times New Roman" w:hAnsi="Times New Roman" w:cs="Times New Roman"/>
          <w:b/>
          <w:sz w:val="24"/>
          <w:szCs w:val="24"/>
        </w:rPr>
        <w:t>/+10% от объема поставки.</w:t>
      </w: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Default="00D92617" w:rsidP="00D92617">
      <w:pPr>
        <w:suppressAutoHyphens/>
        <w:rPr>
          <w:rFonts w:ascii="Times New Roman" w:eastAsia="Calibri" w:hAnsi="Times New Roman" w:cs="Times New Roman"/>
          <w:sz w:val="24"/>
          <w:szCs w:val="24"/>
          <w:vertAlign w:val="superscript"/>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2158E6" w:rsidRDefault="002158E6" w:rsidP="00D92617">
      <w:pPr>
        <w:suppressAutoHyphens/>
        <w:rPr>
          <w:rFonts w:ascii="Times New Roman" w:eastAsia="Calibri" w:hAnsi="Times New Roman" w:cs="Times New Roman"/>
          <w:sz w:val="24"/>
          <w:szCs w:val="24"/>
          <w:vertAlign w:val="superscript"/>
          <w:lang w:eastAsia="zh-CN"/>
        </w:rPr>
      </w:pPr>
    </w:p>
    <w:p w:rsidR="002158E6" w:rsidRPr="00D92617" w:rsidRDefault="00656DD6" w:rsidP="00D92617">
      <w:pPr>
        <w:suppressAutoHyphens/>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F23C6F" w:rsidRDefault="00F23C6F" w:rsidP="001378DB">
      <w:pPr>
        <w:jc w:val="right"/>
        <w:rPr>
          <w:rFonts w:ascii="Times New Roman" w:hAnsi="Times New Roman" w:cs="Times New Roman"/>
          <w:i/>
          <w:sz w:val="24"/>
          <w:szCs w:val="24"/>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4321AE" w:rsidRPr="007B357A" w:rsidRDefault="004321AE" w:rsidP="004321AE">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4321AE" w:rsidRPr="007B357A" w:rsidTr="004D0FA7">
        <w:trPr>
          <w:trHeight w:val="193"/>
        </w:trPr>
        <w:tc>
          <w:tcPr>
            <w:tcW w:w="5451" w:type="dxa"/>
            <w:shd w:val="clear" w:color="auto" w:fill="auto"/>
          </w:tcPr>
          <w:p w:rsidR="004321AE" w:rsidRPr="007B357A" w:rsidRDefault="004321AE" w:rsidP="004D0FA7">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4321AE" w:rsidRPr="007B357A" w:rsidRDefault="004321AE" w:rsidP="004D0FA7">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4321AE" w:rsidRPr="007B357A" w:rsidTr="004D0FA7">
        <w:trPr>
          <w:trHeight w:val="193"/>
        </w:trPr>
        <w:tc>
          <w:tcPr>
            <w:tcW w:w="5451" w:type="dxa"/>
            <w:shd w:val="clear" w:color="auto" w:fill="auto"/>
          </w:tcPr>
          <w:p w:rsidR="004321AE" w:rsidRPr="007B357A" w:rsidRDefault="004321AE" w:rsidP="004D0FA7">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4321AE" w:rsidRPr="007B357A" w:rsidRDefault="004321AE" w:rsidP="004D0FA7">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4321AE" w:rsidRPr="007B357A" w:rsidRDefault="004321AE" w:rsidP="004321AE">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4321AE" w:rsidRDefault="004321AE" w:rsidP="004321AE">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4321AE" w:rsidRPr="00677857" w:rsidRDefault="004321AE" w:rsidP="004321AE">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4321AE"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4321AE"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4321AE"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4321AE"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4321AE" w:rsidRPr="00CC0B6E"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4321AE" w:rsidRPr="00677857" w:rsidRDefault="004321AE" w:rsidP="004321AE">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4321AE" w:rsidRPr="00677857" w:rsidRDefault="004321AE" w:rsidP="004321AE">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4321AE" w:rsidRPr="00E53F16" w:rsidRDefault="004321AE" w:rsidP="004321A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4321AE" w:rsidRPr="00E53F16" w:rsidRDefault="004321AE" w:rsidP="004321AE">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4321AE" w:rsidRPr="008505EF"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4321AE" w:rsidRPr="00E53F16"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4321AE" w:rsidRPr="00E53F16" w:rsidRDefault="004321AE" w:rsidP="004321A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4321AE" w:rsidRPr="00E53F16" w:rsidRDefault="004321AE" w:rsidP="004321A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4321AE" w:rsidRPr="00E53F16" w:rsidRDefault="004321AE" w:rsidP="004321A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4321AE" w:rsidRPr="00E53F16"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321AE" w:rsidRPr="00E53F16"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4321AE" w:rsidRPr="00E53F16"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4321AE" w:rsidRPr="00E53F16"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4321AE" w:rsidRPr="00E53F16" w:rsidRDefault="004321AE" w:rsidP="004321A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4321AE" w:rsidRPr="007B357A"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4321AE" w:rsidRPr="007B357A"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w:t>
      </w:r>
      <w:r w:rsidRPr="00E53F16">
        <w:rPr>
          <w:rFonts w:ascii="Times New Roman" w:eastAsia="Times New Roman" w:hAnsi="Times New Roman" w:cs="Times New Roman"/>
          <w:color w:val="000000" w:themeColor="text1"/>
        </w:rPr>
        <w:lastRenderedPageBreak/>
        <w:t>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321AE" w:rsidRPr="00E53F16" w:rsidRDefault="004321AE" w:rsidP="004321AE">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4321AE" w:rsidRPr="00E53F16" w:rsidRDefault="004321AE" w:rsidP="004321A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4321AE" w:rsidRPr="00E53F16" w:rsidRDefault="004321AE" w:rsidP="004321A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4321AE" w:rsidRPr="00E53F16" w:rsidRDefault="004321AE" w:rsidP="004321A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4321AE" w:rsidRPr="00E53F16" w:rsidRDefault="004321AE" w:rsidP="004321A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4321AE" w:rsidRPr="00E53F16" w:rsidRDefault="004321AE" w:rsidP="004321AE">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4321AE" w:rsidRPr="00E53F16" w:rsidRDefault="004321AE" w:rsidP="004321A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4321AE" w:rsidRPr="00E53F16" w:rsidRDefault="004321AE" w:rsidP="004321AE">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4321AE" w:rsidRPr="00E53F16"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4321AE" w:rsidRPr="00E53F16" w:rsidRDefault="004321AE" w:rsidP="004321A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4321AE" w:rsidRPr="00E53F16"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4321AE" w:rsidRPr="007B357A" w:rsidRDefault="004321AE" w:rsidP="004321A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4321AE" w:rsidRPr="007B357A" w:rsidRDefault="004321AE" w:rsidP="004321A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4321AE" w:rsidRPr="007B357A" w:rsidRDefault="004321AE" w:rsidP="004321A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4321AE" w:rsidRPr="007B357A" w:rsidRDefault="004321AE" w:rsidP="004321A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w:t>
      </w:r>
      <w:r w:rsidRPr="007B357A">
        <w:rPr>
          <w:rFonts w:ascii="Times New Roman" w:hAnsi="Times New Roman" w:cs="Times New Roman"/>
          <w:color w:val="000000" w:themeColor="text1"/>
        </w:rPr>
        <w:lastRenderedPageBreak/>
        <w:t>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4321AE" w:rsidRPr="007B357A" w:rsidRDefault="004321AE" w:rsidP="004321A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4321AE" w:rsidRPr="007B357A" w:rsidRDefault="004321AE" w:rsidP="004321A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4321AE" w:rsidRPr="007B357A" w:rsidRDefault="004321AE" w:rsidP="004321A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4321AE" w:rsidRPr="007B357A" w:rsidRDefault="004321AE" w:rsidP="004321AE">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4321AE" w:rsidRDefault="004321AE" w:rsidP="004321A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4321AE" w:rsidRPr="00E53F16" w:rsidRDefault="004321AE" w:rsidP="004321A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4321AE" w:rsidRPr="00E53F16" w:rsidRDefault="004321AE" w:rsidP="004321A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321AE" w:rsidRPr="00E53F16" w:rsidRDefault="004321AE" w:rsidP="004321A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4321AE" w:rsidRPr="007B357A" w:rsidRDefault="004321AE" w:rsidP="004321AE">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4321AE" w:rsidRPr="007B357A" w:rsidRDefault="004321AE" w:rsidP="004321AE">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321AE" w:rsidRPr="007B357A" w:rsidRDefault="004321AE" w:rsidP="004321A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4321AE" w:rsidRPr="007B357A" w:rsidRDefault="004321AE" w:rsidP="004321AE">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4321AE" w:rsidRPr="007B357A"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4321AE" w:rsidRPr="007B357A"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4321AE" w:rsidRPr="007B357A"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4321AE" w:rsidRPr="007B357A"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4321AE" w:rsidRPr="007B357A" w:rsidRDefault="004321AE" w:rsidP="004321A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4321AE" w:rsidRPr="007B357A" w:rsidRDefault="004321AE" w:rsidP="004321A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4321AE" w:rsidRPr="007B357A" w:rsidRDefault="004321AE" w:rsidP="004321AE">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321AE" w:rsidRPr="007B357A" w:rsidRDefault="004321AE" w:rsidP="004321AE">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4321AE" w:rsidRPr="007B357A" w:rsidRDefault="004321AE" w:rsidP="004321A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4321AE" w:rsidRPr="007B357A" w:rsidRDefault="004321AE" w:rsidP="004321A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321AE" w:rsidRPr="007B357A" w:rsidRDefault="004321AE" w:rsidP="004321AE">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4321AE" w:rsidRPr="007B357A" w:rsidRDefault="004321AE" w:rsidP="004321A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4321AE" w:rsidRPr="007B357A" w:rsidRDefault="004321AE" w:rsidP="004321A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4321AE" w:rsidRPr="007B357A" w:rsidRDefault="004321AE" w:rsidP="004321AE">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4321AE" w:rsidRPr="007B357A" w:rsidRDefault="004321AE" w:rsidP="004321AE">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4321AE"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4321AE" w:rsidRDefault="004321AE" w:rsidP="004321AE">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4321AE" w:rsidRPr="007B357A" w:rsidRDefault="004321AE" w:rsidP="004321A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4321AE" w:rsidRPr="007B357A" w:rsidRDefault="004321AE" w:rsidP="004321AE">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4321AE" w:rsidRDefault="004321AE" w:rsidP="004321AE">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4321AE" w:rsidRPr="008505EF" w:rsidRDefault="004321AE" w:rsidP="004321AE">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4321AE" w:rsidRPr="008505EF" w:rsidRDefault="004321AE" w:rsidP="004321AE">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321AE" w:rsidRPr="008505EF" w:rsidRDefault="004321AE" w:rsidP="004321A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4321AE" w:rsidRPr="008505EF" w:rsidRDefault="004321AE" w:rsidP="004321A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321AE" w:rsidRPr="008505EF" w:rsidRDefault="004321AE" w:rsidP="004321AE">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321AE" w:rsidRPr="008505EF" w:rsidRDefault="004321AE" w:rsidP="004321A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321AE" w:rsidRPr="008505EF" w:rsidRDefault="004321AE" w:rsidP="004321A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321AE" w:rsidRPr="008505EF" w:rsidRDefault="004321AE" w:rsidP="004321AE">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321AE" w:rsidRPr="008505EF" w:rsidRDefault="004321AE" w:rsidP="004321AE">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321AE" w:rsidRPr="008505EF" w:rsidRDefault="004321AE" w:rsidP="004321AE">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321AE" w:rsidRPr="008505EF" w:rsidRDefault="004321AE" w:rsidP="004321AE">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321AE" w:rsidRPr="008505EF" w:rsidRDefault="004321AE" w:rsidP="004321AE">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321AE" w:rsidRPr="008505EF" w:rsidRDefault="004321AE" w:rsidP="004321AE">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321AE" w:rsidRPr="008505EF" w:rsidRDefault="004321AE" w:rsidP="004321AE">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4321AE" w:rsidRPr="008505EF" w:rsidRDefault="004321AE" w:rsidP="004321AE">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4321AE" w:rsidRPr="008505EF" w:rsidRDefault="004321AE" w:rsidP="004321A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4321AE" w:rsidRPr="008505EF" w:rsidRDefault="004321AE" w:rsidP="004321A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321AE" w:rsidRPr="008505EF" w:rsidRDefault="004321AE" w:rsidP="004321AE">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321AE" w:rsidRPr="008505EF" w:rsidRDefault="004321AE" w:rsidP="004321AE">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4321AE" w:rsidRPr="008505EF"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4321AE" w:rsidRPr="008505EF"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4321AE" w:rsidRPr="008505EF"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4321AE" w:rsidRPr="008505EF"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4321AE" w:rsidRPr="007B357A" w:rsidRDefault="004321AE" w:rsidP="004321A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4321AE" w:rsidRPr="007B357A" w:rsidRDefault="004321AE" w:rsidP="004321AE">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4321AE" w:rsidRPr="007B357A" w:rsidRDefault="004321AE" w:rsidP="004321AE">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321AE" w:rsidRPr="00E53F16"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4321AE" w:rsidRPr="007B357A" w:rsidRDefault="004321AE" w:rsidP="004321A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4321AE" w:rsidRPr="007B357A" w:rsidRDefault="004321AE" w:rsidP="004321AE">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4321AE" w:rsidRPr="007B357A" w:rsidTr="004D0FA7">
        <w:trPr>
          <w:trHeight w:val="285"/>
        </w:trPr>
        <w:tc>
          <w:tcPr>
            <w:tcW w:w="5104" w:type="dxa"/>
            <w:shd w:val="clear" w:color="auto" w:fill="auto"/>
          </w:tcPr>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4321AE" w:rsidRPr="007B357A" w:rsidRDefault="004321AE" w:rsidP="004D0FA7">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4321AE" w:rsidRPr="007B357A" w:rsidTr="004D0FA7">
        <w:trPr>
          <w:trHeight w:val="258"/>
        </w:trPr>
        <w:tc>
          <w:tcPr>
            <w:tcW w:w="5104" w:type="dxa"/>
            <w:shd w:val="clear" w:color="auto" w:fill="auto"/>
          </w:tcPr>
          <w:p w:rsidR="004321AE" w:rsidRPr="007B357A" w:rsidRDefault="004321AE" w:rsidP="004D0FA7">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321AE" w:rsidRPr="007B357A" w:rsidRDefault="004321AE" w:rsidP="004D0FA7">
            <w:pPr>
              <w:spacing w:after="0" w:line="240" w:lineRule="auto"/>
              <w:jc w:val="both"/>
              <w:rPr>
                <w:rFonts w:ascii="Times New Roman" w:eastAsia="Times New Roman" w:hAnsi="Times New Roman" w:cs="Times New Roman"/>
                <w:color w:val="000000" w:themeColor="text1"/>
              </w:rPr>
            </w:pPr>
          </w:p>
        </w:tc>
      </w:tr>
      <w:tr w:rsidR="004321AE" w:rsidRPr="007B357A" w:rsidTr="004D0FA7">
        <w:trPr>
          <w:trHeight w:val="285"/>
        </w:trPr>
        <w:tc>
          <w:tcPr>
            <w:tcW w:w="5104" w:type="dxa"/>
            <w:shd w:val="clear" w:color="auto" w:fill="auto"/>
          </w:tcPr>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321AE" w:rsidRPr="007B357A" w:rsidRDefault="004321AE" w:rsidP="004D0FA7">
            <w:pPr>
              <w:spacing w:after="0" w:line="240" w:lineRule="auto"/>
              <w:jc w:val="both"/>
              <w:rPr>
                <w:rFonts w:ascii="Times New Roman" w:eastAsia="Times New Roman" w:hAnsi="Times New Roman" w:cs="Times New Roman"/>
                <w:color w:val="000000" w:themeColor="text1"/>
              </w:rPr>
            </w:pPr>
          </w:p>
        </w:tc>
      </w:tr>
    </w:tbl>
    <w:p w:rsidR="004321AE" w:rsidRDefault="004321AE" w:rsidP="004321AE">
      <w:pPr>
        <w:spacing w:after="0" w:line="240" w:lineRule="auto"/>
        <w:rPr>
          <w:rFonts w:ascii="Times New Roman" w:eastAsia="Times New Roman" w:hAnsi="Times New Roman" w:cs="Times New Roman"/>
          <w:bCs/>
          <w:color w:val="000000" w:themeColor="text1"/>
        </w:rPr>
      </w:pPr>
    </w:p>
    <w:p w:rsidR="004321AE" w:rsidRPr="007B357A" w:rsidRDefault="004321AE" w:rsidP="004321AE">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321AE" w:rsidRPr="007B357A" w:rsidRDefault="004321AE" w:rsidP="004321AE">
      <w:pPr>
        <w:spacing w:after="0" w:line="240" w:lineRule="auto"/>
        <w:jc w:val="right"/>
        <w:rPr>
          <w:rFonts w:ascii="Times New Roman" w:eastAsia="Times New Roman" w:hAnsi="Times New Roman" w:cs="Times New Roman"/>
          <w:bCs/>
          <w:color w:val="000000" w:themeColor="text1"/>
        </w:rPr>
      </w:pPr>
    </w:p>
    <w:p w:rsidR="004321AE" w:rsidRPr="007B357A" w:rsidRDefault="004321AE" w:rsidP="004321AE">
      <w:pPr>
        <w:spacing w:after="0" w:line="240" w:lineRule="auto"/>
        <w:ind w:left="-851"/>
        <w:jc w:val="center"/>
        <w:rPr>
          <w:rFonts w:ascii="Times New Roman" w:eastAsia="Times New Roman" w:hAnsi="Times New Roman" w:cs="Times New Roman"/>
          <w:bCs/>
          <w:color w:val="000000" w:themeColor="text1"/>
        </w:rPr>
      </w:pPr>
    </w:p>
    <w:p w:rsidR="004321AE" w:rsidRPr="007B357A" w:rsidRDefault="004321AE" w:rsidP="004321AE">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321AE" w:rsidRPr="007B357A" w:rsidRDefault="004321AE" w:rsidP="004321AE">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321AE" w:rsidRPr="007B357A" w:rsidRDefault="004321AE" w:rsidP="004321AE">
      <w:pPr>
        <w:spacing w:after="0" w:line="240" w:lineRule="auto"/>
        <w:ind w:left="-709" w:firstLine="709"/>
        <w:jc w:val="both"/>
        <w:rPr>
          <w:rFonts w:ascii="Times New Roman" w:eastAsia="Times New Roman" w:hAnsi="Times New Roman" w:cs="Times New Roman"/>
          <w:b/>
          <w:bCs/>
          <w:color w:val="000000" w:themeColor="text1"/>
        </w:rPr>
      </w:pPr>
    </w:p>
    <w:p w:rsidR="004321AE" w:rsidRPr="007B357A" w:rsidRDefault="004321AE" w:rsidP="004321AE">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321AE" w:rsidRPr="007B357A" w:rsidRDefault="004321AE" w:rsidP="004321AE">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4321AE" w:rsidRPr="007B357A" w:rsidTr="00D45BCF">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center"/>
              <w:rPr>
                <w:rFonts w:ascii="Times New Roman" w:hAnsi="Times New Roman" w:cs="Times New Roman"/>
                <w:color w:val="000000" w:themeColor="text1"/>
              </w:rPr>
            </w:pPr>
          </w:p>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21AE" w:rsidRPr="007B357A" w:rsidRDefault="004321AE" w:rsidP="004D0FA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321AE" w:rsidRPr="007B357A" w:rsidTr="007B656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321AE" w:rsidRPr="007B357A" w:rsidRDefault="004321AE" w:rsidP="004D0FA7">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after="0" w:line="240" w:lineRule="auto"/>
              <w:jc w:val="center"/>
              <w:rPr>
                <w:rFonts w:ascii="Times New Roman" w:hAnsi="Times New Roman" w:cs="Times New Roman"/>
                <w:color w:val="000000" w:themeColor="text1"/>
              </w:rPr>
            </w:pPr>
          </w:p>
        </w:tc>
      </w:tr>
      <w:tr w:rsidR="004321AE" w:rsidRPr="007B357A" w:rsidTr="004D0FA7">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321AE" w:rsidRPr="007B357A" w:rsidRDefault="004321AE" w:rsidP="004D0FA7">
            <w:pPr>
              <w:spacing w:line="240" w:lineRule="auto"/>
              <w:jc w:val="center"/>
              <w:rPr>
                <w:rFonts w:ascii="Times New Roman" w:hAnsi="Times New Roman" w:cs="Times New Roman"/>
                <w:color w:val="000000" w:themeColor="text1"/>
              </w:rPr>
            </w:pPr>
          </w:p>
        </w:tc>
      </w:tr>
    </w:tbl>
    <w:p w:rsidR="004321AE" w:rsidRPr="007B357A" w:rsidRDefault="004321AE" w:rsidP="004321AE">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321AE" w:rsidRPr="007B357A" w:rsidRDefault="004321AE" w:rsidP="004321AE">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321AE" w:rsidRPr="007B357A" w:rsidRDefault="004321AE" w:rsidP="004321AE">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321AE" w:rsidRPr="007B357A" w:rsidRDefault="004321AE" w:rsidP="004321AE">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4321AE" w:rsidRPr="007B357A" w:rsidRDefault="004321AE" w:rsidP="004321A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321AE" w:rsidRPr="007B357A" w:rsidRDefault="004321AE" w:rsidP="004321A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321AE" w:rsidRPr="007B357A" w:rsidRDefault="004321AE" w:rsidP="004321A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321AE" w:rsidRPr="007B357A" w:rsidRDefault="004321AE" w:rsidP="004321AE">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321AE" w:rsidRPr="007B357A" w:rsidRDefault="004321AE" w:rsidP="004321AE">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321AE" w:rsidRPr="007B357A" w:rsidTr="004D0FA7">
        <w:trPr>
          <w:trHeight w:val="448"/>
        </w:trPr>
        <w:tc>
          <w:tcPr>
            <w:tcW w:w="5104" w:type="dxa"/>
            <w:shd w:val="clear" w:color="auto" w:fill="auto"/>
          </w:tcPr>
          <w:p w:rsidR="004321AE" w:rsidRPr="007B357A" w:rsidRDefault="004321AE" w:rsidP="004D0FA7">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321AE" w:rsidRPr="007B357A" w:rsidRDefault="004321AE" w:rsidP="004D0FA7">
            <w:pPr>
              <w:snapToGrid w:val="0"/>
              <w:spacing w:after="0" w:line="240" w:lineRule="auto"/>
              <w:jc w:val="both"/>
              <w:rPr>
                <w:rFonts w:ascii="Times New Roman" w:eastAsia="Times New Roman" w:hAnsi="Times New Roman" w:cs="Times New Roman"/>
                <w:color w:val="000000" w:themeColor="text1"/>
                <w:lang w:eastAsia="ru-RU"/>
              </w:rPr>
            </w:pPr>
          </w:p>
          <w:p w:rsidR="004321AE" w:rsidRPr="007B357A" w:rsidRDefault="004321AE" w:rsidP="004D0FA7">
            <w:pPr>
              <w:snapToGrid w:val="0"/>
              <w:spacing w:after="0" w:line="240" w:lineRule="auto"/>
              <w:jc w:val="both"/>
              <w:rPr>
                <w:rFonts w:ascii="Times New Roman" w:eastAsia="Times New Roman" w:hAnsi="Times New Roman" w:cs="Times New Roman"/>
                <w:color w:val="000000" w:themeColor="text1"/>
                <w:lang w:eastAsia="ru-RU"/>
              </w:rPr>
            </w:pPr>
          </w:p>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p>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321AE" w:rsidRPr="007B357A" w:rsidRDefault="004321AE" w:rsidP="004D0FA7">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321AE" w:rsidRPr="007B357A" w:rsidRDefault="004321AE" w:rsidP="004D0FA7">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321AE" w:rsidRPr="007B357A" w:rsidRDefault="004321AE" w:rsidP="004D0FA7">
            <w:pPr>
              <w:spacing w:after="0" w:line="240" w:lineRule="auto"/>
              <w:jc w:val="both"/>
              <w:rPr>
                <w:rFonts w:ascii="Times New Roman" w:hAnsi="Times New Roman" w:cs="Times New Roman"/>
                <w:color w:val="000000" w:themeColor="text1"/>
                <w:lang w:eastAsia="ru-RU"/>
              </w:rPr>
            </w:pPr>
          </w:p>
          <w:p w:rsidR="004321AE" w:rsidRPr="007B357A" w:rsidRDefault="004321AE" w:rsidP="004D0FA7">
            <w:pPr>
              <w:spacing w:after="0" w:line="240" w:lineRule="auto"/>
              <w:jc w:val="both"/>
              <w:rPr>
                <w:rFonts w:ascii="Times New Roman" w:hAnsi="Times New Roman" w:cs="Times New Roman"/>
                <w:color w:val="000000" w:themeColor="text1"/>
                <w:lang w:eastAsia="ru-RU"/>
              </w:rPr>
            </w:pPr>
          </w:p>
          <w:p w:rsidR="004321AE" w:rsidRPr="007B357A" w:rsidRDefault="004321AE" w:rsidP="004D0FA7">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321AE" w:rsidRPr="007B357A" w:rsidRDefault="004321AE" w:rsidP="004D0FA7">
            <w:pPr>
              <w:spacing w:after="0" w:line="240" w:lineRule="auto"/>
              <w:jc w:val="both"/>
              <w:rPr>
                <w:rFonts w:ascii="Times New Roman" w:eastAsia="Times New Roman" w:hAnsi="Times New Roman" w:cs="Times New Roman"/>
                <w:color w:val="000000" w:themeColor="text1"/>
                <w:lang w:eastAsia="ru-RU"/>
              </w:rPr>
            </w:pPr>
          </w:p>
          <w:p w:rsidR="004321AE" w:rsidRPr="007B357A" w:rsidRDefault="004321AE" w:rsidP="004D0FA7">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321AE" w:rsidRPr="007B357A" w:rsidTr="004D0FA7">
        <w:trPr>
          <w:trHeight w:val="448"/>
        </w:trPr>
        <w:tc>
          <w:tcPr>
            <w:tcW w:w="5104" w:type="dxa"/>
            <w:shd w:val="clear" w:color="auto" w:fill="auto"/>
          </w:tcPr>
          <w:p w:rsidR="004321AE" w:rsidRPr="007B357A" w:rsidRDefault="004321AE" w:rsidP="004D0FA7">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321AE" w:rsidRPr="007B357A" w:rsidRDefault="004321AE" w:rsidP="004D0FA7">
            <w:pPr>
              <w:spacing w:after="0" w:line="240" w:lineRule="auto"/>
              <w:jc w:val="both"/>
              <w:rPr>
                <w:rFonts w:ascii="Times New Roman" w:hAnsi="Times New Roman" w:cs="Times New Roman"/>
                <w:color w:val="000000" w:themeColor="text1"/>
                <w:lang w:eastAsia="ru-RU"/>
              </w:rPr>
            </w:pPr>
          </w:p>
        </w:tc>
      </w:tr>
    </w:tbl>
    <w:p w:rsidR="004321AE" w:rsidRPr="001378DB" w:rsidRDefault="004321AE" w:rsidP="004321AE">
      <w:pPr>
        <w:rPr>
          <w:rFonts w:ascii="Times New Roman" w:hAnsi="Times New Roman" w:cs="Times New Roman"/>
          <w:sz w:val="24"/>
          <w:szCs w:val="24"/>
        </w:rPr>
      </w:pPr>
    </w:p>
    <w:p w:rsidR="001378DB" w:rsidRPr="001378DB" w:rsidRDefault="001378DB" w:rsidP="004321AE">
      <w:pPr>
        <w:widowControl w:val="0"/>
        <w:spacing w:after="0" w:line="240" w:lineRule="auto"/>
        <w:contextualSpacing/>
        <w:jc w:val="cente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5A" w:rsidRDefault="00A96C5A" w:rsidP="005C4CBB">
      <w:pPr>
        <w:spacing w:after="0" w:line="240" w:lineRule="auto"/>
      </w:pPr>
      <w:r>
        <w:separator/>
      </w:r>
    </w:p>
  </w:endnote>
  <w:endnote w:type="continuationSeparator" w:id="0">
    <w:p w:rsidR="00A96C5A" w:rsidRDefault="00A96C5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5A" w:rsidRDefault="00A96C5A" w:rsidP="005C4CBB">
      <w:pPr>
        <w:spacing w:after="0" w:line="240" w:lineRule="auto"/>
      </w:pPr>
      <w:r>
        <w:separator/>
      </w:r>
    </w:p>
  </w:footnote>
  <w:footnote w:type="continuationSeparator" w:id="0">
    <w:p w:rsidR="00A96C5A" w:rsidRDefault="00A96C5A" w:rsidP="005C4CBB">
      <w:pPr>
        <w:spacing w:after="0" w:line="240" w:lineRule="auto"/>
      </w:pPr>
      <w:r>
        <w:continuationSeparator/>
      </w:r>
    </w:p>
  </w:footnote>
  <w:footnote w:id="1">
    <w:p w:rsidR="00A96C5A" w:rsidRPr="006A4B85" w:rsidRDefault="00A96C5A"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07E7E"/>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4D47"/>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C77C5"/>
    <w:rsid w:val="001D2D17"/>
    <w:rsid w:val="001D55F4"/>
    <w:rsid w:val="001E10A5"/>
    <w:rsid w:val="001E6C24"/>
    <w:rsid w:val="001F2853"/>
    <w:rsid w:val="001F46E2"/>
    <w:rsid w:val="001F512B"/>
    <w:rsid w:val="00203510"/>
    <w:rsid w:val="00206EC4"/>
    <w:rsid w:val="00214413"/>
    <w:rsid w:val="002158E6"/>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149F2"/>
    <w:rsid w:val="00320BB5"/>
    <w:rsid w:val="003228C3"/>
    <w:rsid w:val="00323818"/>
    <w:rsid w:val="00326EE1"/>
    <w:rsid w:val="00326EF7"/>
    <w:rsid w:val="00332017"/>
    <w:rsid w:val="003344DA"/>
    <w:rsid w:val="003355E6"/>
    <w:rsid w:val="0033649E"/>
    <w:rsid w:val="00342F50"/>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21AE"/>
    <w:rsid w:val="004335FB"/>
    <w:rsid w:val="004414EA"/>
    <w:rsid w:val="004419EC"/>
    <w:rsid w:val="004421AC"/>
    <w:rsid w:val="00451872"/>
    <w:rsid w:val="00455EE4"/>
    <w:rsid w:val="00457E90"/>
    <w:rsid w:val="0046015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3945"/>
    <w:rsid w:val="004E63BC"/>
    <w:rsid w:val="004F11FF"/>
    <w:rsid w:val="004F60B7"/>
    <w:rsid w:val="004F79B6"/>
    <w:rsid w:val="00500A4C"/>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F05"/>
    <w:rsid w:val="00606839"/>
    <w:rsid w:val="006179C4"/>
    <w:rsid w:val="00622FA0"/>
    <w:rsid w:val="00635088"/>
    <w:rsid w:val="00640954"/>
    <w:rsid w:val="00643383"/>
    <w:rsid w:val="00645A5F"/>
    <w:rsid w:val="0065045C"/>
    <w:rsid w:val="00650DF4"/>
    <w:rsid w:val="00656DD6"/>
    <w:rsid w:val="00660312"/>
    <w:rsid w:val="00660E38"/>
    <w:rsid w:val="006616D1"/>
    <w:rsid w:val="00664938"/>
    <w:rsid w:val="00664BF2"/>
    <w:rsid w:val="006663A7"/>
    <w:rsid w:val="00670E37"/>
    <w:rsid w:val="0068284D"/>
    <w:rsid w:val="0069129B"/>
    <w:rsid w:val="006A2003"/>
    <w:rsid w:val="006B4C2F"/>
    <w:rsid w:val="006B7EE6"/>
    <w:rsid w:val="006D0CF1"/>
    <w:rsid w:val="006D3193"/>
    <w:rsid w:val="006D3EBE"/>
    <w:rsid w:val="006D6BCA"/>
    <w:rsid w:val="006E5EA0"/>
    <w:rsid w:val="006E7D99"/>
    <w:rsid w:val="006F19B0"/>
    <w:rsid w:val="00701E8A"/>
    <w:rsid w:val="00702FE2"/>
    <w:rsid w:val="0070394A"/>
    <w:rsid w:val="00706A1A"/>
    <w:rsid w:val="00707032"/>
    <w:rsid w:val="007073D3"/>
    <w:rsid w:val="00714DB3"/>
    <w:rsid w:val="00720EF6"/>
    <w:rsid w:val="00721BFF"/>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2434"/>
    <w:rsid w:val="008E2E62"/>
    <w:rsid w:val="008E7DDF"/>
    <w:rsid w:val="00902278"/>
    <w:rsid w:val="00903E35"/>
    <w:rsid w:val="00912415"/>
    <w:rsid w:val="0092050A"/>
    <w:rsid w:val="00922B94"/>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0C8B"/>
    <w:rsid w:val="009717BF"/>
    <w:rsid w:val="00976376"/>
    <w:rsid w:val="00977587"/>
    <w:rsid w:val="00987C00"/>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1BC"/>
    <w:rsid w:val="00A76F40"/>
    <w:rsid w:val="00A8296D"/>
    <w:rsid w:val="00A847E2"/>
    <w:rsid w:val="00A85929"/>
    <w:rsid w:val="00A92F2C"/>
    <w:rsid w:val="00A95690"/>
    <w:rsid w:val="00A96094"/>
    <w:rsid w:val="00A96C5A"/>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0904"/>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1FA7"/>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BE4"/>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95159"/>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C6F"/>
    <w:rsid w:val="00F23E72"/>
    <w:rsid w:val="00F23FB7"/>
    <w:rsid w:val="00F31E37"/>
    <w:rsid w:val="00F405C1"/>
    <w:rsid w:val="00F44869"/>
    <w:rsid w:val="00F64A49"/>
    <w:rsid w:val="00F64E34"/>
    <w:rsid w:val="00F654B1"/>
    <w:rsid w:val="00F6642F"/>
    <w:rsid w:val="00F66E0A"/>
    <w:rsid w:val="00F73B70"/>
    <w:rsid w:val="00F7556F"/>
    <w:rsid w:val="00F76AD5"/>
    <w:rsid w:val="00F82686"/>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C80B-0FB0-41DD-981F-D4DB33B7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13937</Words>
  <Characters>79447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11</cp:revision>
  <cp:lastPrinted>2023-08-07T10:56:00Z</cp:lastPrinted>
  <dcterms:created xsi:type="dcterms:W3CDTF">2024-04-01T12:01:00Z</dcterms:created>
  <dcterms:modified xsi:type="dcterms:W3CDTF">2024-04-02T06:13:00Z</dcterms:modified>
</cp:coreProperties>
</file>