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C7FC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C7FCB" w:rsidRPr="000C7FCB">
        <w:rPr>
          <w:rFonts w:ascii="Times New Roman" w:hAnsi="Times New Roman"/>
          <w:b/>
          <w:sz w:val="28"/>
          <w:szCs w:val="28"/>
        </w:rPr>
        <w:t>ДЕТАЛЕЙ ДЛЯ ПОРТАЛЬНЫХ КРАНОВ ДОКОВОГО КОМПЛЕКСА</w:t>
      </w:r>
      <w:r w:rsidR="000C7FCB">
        <w:rPr>
          <w:rFonts w:ascii="Times New Roman" w:hAnsi="Times New Roman"/>
          <w:b/>
          <w:sz w:val="28"/>
          <w:szCs w:val="28"/>
        </w:rPr>
        <w:t xml:space="preserve"> В </w:t>
      </w:r>
      <w:proofErr w:type="gramStart"/>
      <w:r w:rsidR="000C7FCB">
        <w:rPr>
          <w:rFonts w:ascii="Times New Roman" w:hAnsi="Times New Roman"/>
          <w:b/>
          <w:sz w:val="28"/>
          <w:szCs w:val="28"/>
        </w:rPr>
        <w:t>РАМКАХ</w:t>
      </w:r>
      <w:proofErr w:type="gramEnd"/>
      <w:r w:rsidR="000C7FCB">
        <w:rPr>
          <w:rFonts w:ascii="Times New Roman" w:hAnsi="Times New Roman"/>
          <w:b/>
          <w:sz w:val="28"/>
          <w:szCs w:val="28"/>
        </w:rPr>
        <w:t xml:space="preserve"> ЗАКАЗА ЗАВ.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0C7FCB" w:rsidRDefault="000C7FCB"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C7FCB" w:rsidRPr="000C7FCB">
        <w:rPr>
          <w:rFonts w:ascii="Times New Roman" w:hAnsi="Times New Roman" w:cs="Times New Roman"/>
          <w:sz w:val="24"/>
          <w:szCs w:val="24"/>
        </w:rPr>
        <w:t>деталей для портальных кранов докового комп</w:t>
      </w:r>
      <w:r w:rsidR="000C7FCB">
        <w:rPr>
          <w:rFonts w:ascii="Times New Roman" w:hAnsi="Times New Roman" w:cs="Times New Roman"/>
          <w:sz w:val="24"/>
          <w:szCs w:val="24"/>
        </w:rPr>
        <w:t>лекса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C7FCB" w:rsidRPr="000C7FCB">
        <w:rPr>
          <w:rFonts w:eastAsia="Courier New"/>
          <w:color w:val="000000"/>
          <w:spacing w:val="-4"/>
          <w:sz w:val="24"/>
          <w:szCs w:val="24"/>
        </w:rPr>
        <w:t>45 (сорок пять)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C7FCB">
        <w:rPr>
          <w:sz w:val="24"/>
          <w:szCs w:val="24"/>
        </w:rPr>
        <w:t>5 774 002,71</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C7FCB">
        <w:rPr>
          <w:rFonts w:ascii="Times New Roman" w:hAnsi="Times New Roman" w:cs="Times New Roman"/>
          <w:sz w:val="24"/>
          <w:szCs w:val="24"/>
          <w:u w:val="single"/>
        </w:rPr>
        <w:t>04</w:t>
      </w:r>
      <w:r w:rsidR="00BA03CD">
        <w:rPr>
          <w:rFonts w:ascii="Times New Roman" w:hAnsi="Times New Roman" w:cs="Times New Roman"/>
          <w:sz w:val="24"/>
          <w:szCs w:val="24"/>
          <w:u w:val="single"/>
        </w:rPr>
        <w:t>.</w:t>
      </w:r>
      <w:r w:rsidR="000C7FC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C7FCB">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0C7FCB">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C7FCB">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0C7FC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C7FC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C7FCB">
              <w:rPr>
                <w:rFonts w:ascii="Times New Roman" w:hAnsi="Times New Roman" w:cs="Times New Roman"/>
                <w:sz w:val="24"/>
                <w:szCs w:val="24"/>
              </w:rPr>
              <w:t>04.04</w:t>
            </w:r>
            <w:r w:rsidR="00F654B1">
              <w:rPr>
                <w:rFonts w:ascii="Times New Roman" w:hAnsi="Times New Roman" w:cs="Times New Roman"/>
                <w:sz w:val="24"/>
                <w:szCs w:val="24"/>
              </w:rPr>
              <w:t>.2023</w:t>
            </w:r>
            <w:r w:rsidR="000C7FCB">
              <w:rPr>
                <w:rFonts w:ascii="Times New Roman" w:hAnsi="Times New Roman" w:cs="Times New Roman"/>
                <w:sz w:val="24"/>
                <w:szCs w:val="24"/>
              </w:rPr>
              <w:t xml:space="preserve"> 14</w:t>
            </w:r>
            <w:r w:rsidR="00701E8A">
              <w:rPr>
                <w:rFonts w:ascii="Times New Roman" w:hAnsi="Times New Roman" w:cs="Times New Roman"/>
                <w:sz w:val="24"/>
                <w:szCs w:val="24"/>
              </w:rPr>
              <w:t>:</w:t>
            </w:r>
            <w:r w:rsidR="000C7FCB">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C7FCB">
              <w:rPr>
                <w:rFonts w:ascii="Times New Roman" w:hAnsi="Times New Roman" w:cs="Times New Roman"/>
                <w:sz w:val="24"/>
                <w:szCs w:val="24"/>
              </w:rPr>
              <w:t>12.04</w:t>
            </w:r>
            <w:r w:rsidR="00F654B1">
              <w:rPr>
                <w:rFonts w:ascii="Times New Roman" w:hAnsi="Times New Roman" w:cs="Times New Roman"/>
                <w:sz w:val="24"/>
                <w:szCs w:val="24"/>
              </w:rPr>
              <w:t>.2023</w:t>
            </w:r>
            <w:r w:rsidR="000C7FC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750D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750D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C7FCB">
        <w:rPr>
          <w:rFonts w:ascii="Times New Roman" w:hAnsi="Times New Roman" w:cs="Times New Roman"/>
          <w:sz w:val="24"/>
          <w:szCs w:val="24"/>
        </w:rPr>
        <w:t>14</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C7FCB">
        <w:rPr>
          <w:rFonts w:ascii="Times New Roman" w:hAnsi="Times New Roman" w:cs="Times New Roman"/>
          <w:sz w:val="24"/>
          <w:szCs w:val="24"/>
          <w:u w:val="single"/>
        </w:rPr>
        <w:t>04.04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0C7FC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C7FCB">
        <w:rPr>
          <w:rFonts w:ascii="Times New Roman" w:hAnsi="Times New Roman" w:cs="Times New Roman"/>
          <w:sz w:val="24"/>
          <w:szCs w:val="24"/>
          <w:u w:val="single"/>
        </w:rPr>
        <w:t>11.04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C7FCB">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0C7FCB">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C7FC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0C7FCB" w:rsidRPr="00045C3E" w:rsidRDefault="000C7FCB" w:rsidP="000C7FCB">
      <w:pPr>
        <w:spacing w:after="0" w:line="240" w:lineRule="auto"/>
        <w:jc w:val="center"/>
        <w:rPr>
          <w:rFonts w:ascii="Times New Roman" w:hAnsi="Times New Roman"/>
          <w:b/>
        </w:rPr>
      </w:pPr>
      <w:r w:rsidRPr="00045C3E">
        <w:rPr>
          <w:rFonts w:ascii="Times New Roman" w:hAnsi="Times New Roman"/>
          <w:b/>
        </w:rPr>
        <w:t xml:space="preserve">Запрос ценового предложения на приобретение </w:t>
      </w:r>
      <w:r>
        <w:rPr>
          <w:rFonts w:ascii="Times New Roman" w:hAnsi="Times New Roman"/>
          <w:b/>
        </w:rPr>
        <w:t>деталей</w:t>
      </w:r>
      <w:r w:rsidRPr="00550690">
        <w:rPr>
          <w:rFonts w:ascii="Times New Roman" w:hAnsi="Times New Roman"/>
          <w:b/>
        </w:rPr>
        <w:t xml:space="preserve"> для </w:t>
      </w:r>
      <w:r>
        <w:rPr>
          <w:rFonts w:ascii="Times New Roman" w:hAnsi="Times New Roman"/>
          <w:b/>
        </w:rPr>
        <w:t xml:space="preserve">портальных </w:t>
      </w:r>
      <w:r w:rsidRPr="00550690">
        <w:rPr>
          <w:rFonts w:ascii="Times New Roman" w:hAnsi="Times New Roman"/>
          <w:b/>
        </w:rPr>
        <w:t>кранов</w:t>
      </w:r>
      <w:r>
        <w:rPr>
          <w:rFonts w:ascii="Times New Roman" w:hAnsi="Times New Roman"/>
          <w:b/>
        </w:rPr>
        <w:t xml:space="preserve"> докового комплекса</w:t>
      </w:r>
      <w:r w:rsidRPr="00550690">
        <w:rPr>
          <w:rFonts w:ascii="Times New Roman" w:hAnsi="Times New Roman"/>
          <w:b/>
        </w:rPr>
        <w:t xml:space="preserve"> в рамках заказа зав. №901.</w:t>
      </w:r>
      <w:r w:rsidRPr="00045C3E">
        <w:rPr>
          <w:rFonts w:ascii="Times New Roman" w:hAnsi="Times New Roman"/>
          <w:b/>
        </w:rPr>
        <w:t xml:space="preserve"> </w:t>
      </w:r>
    </w:p>
    <w:p w:rsidR="000C7FCB" w:rsidRPr="00045C3E" w:rsidRDefault="000C7FCB" w:rsidP="000C7FCB">
      <w:pPr>
        <w:pStyle w:val="af5"/>
        <w:numPr>
          <w:ilvl w:val="0"/>
          <w:numId w:val="17"/>
        </w:numPr>
        <w:ind w:left="-567" w:firstLine="0"/>
        <w:jc w:val="both"/>
        <w:rPr>
          <w:rFonts w:ascii="Times New Roman" w:hAnsi="Times New Roman"/>
          <w:b/>
          <w:color w:val="000000"/>
        </w:rPr>
      </w:pPr>
      <w:r w:rsidRPr="00045C3E">
        <w:rPr>
          <w:rFonts w:ascii="Times New Roman" w:hAnsi="Times New Roman"/>
          <w:b/>
          <w:color w:val="000000"/>
        </w:rPr>
        <w:t>Требование к количественным характеристикам поставки.</w:t>
      </w:r>
    </w:p>
    <w:p w:rsidR="000C7FCB" w:rsidRPr="00045C3E" w:rsidRDefault="000C7FCB" w:rsidP="000C7FCB">
      <w:pPr>
        <w:numPr>
          <w:ilvl w:val="1"/>
          <w:numId w:val="18"/>
        </w:numPr>
        <w:suppressAutoHyphens/>
        <w:spacing w:after="0"/>
        <w:ind w:hanging="77"/>
        <w:rPr>
          <w:rFonts w:ascii="Times New Roman" w:hAnsi="Times New Roman" w:cs="Times New Roman"/>
        </w:rPr>
      </w:pPr>
      <w:r w:rsidRPr="00045C3E">
        <w:rPr>
          <w:rFonts w:ascii="Times New Roman" w:hAnsi="Times New Roman" w:cs="Times New Roman"/>
        </w:rPr>
        <w:t>Предметом настоящего технического задания является приобретение</w:t>
      </w:r>
      <w:r>
        <w:rPr>
          <w:rFonts w:ascii="Times New Roman" w:hAnsi="Times New Roman" w:cs="Times New Roman"/>
        </w:rPr>
        <w:t xml:space="preserve"> </w:t>
      </w:r>
      <w:r w:rsidRPr="00045C3E">
        <w:rPr>
          <w:rFonts w:ascii="Times New Roman" w:hAnsi="Times New Roman" w:cs="Times New Roman"/>
        </w:rPr>
        <w:t xml:space="preserve"> </w:t>
      </w:r>
      <w:r w:rsidRPr="00550690">
        <w:rPr>
          <w:rFonts w:ascii="Times New Roman" w:hAnsi="Times New Roman" w:cs="Times New Roman"/>
        </w:rPr>
        <w:t xml:space="preserve">деталей </w:t>
      </w:r>
      <w:r>
        <w:rPr>
          <w:rFonts w:ascii="Times New Roman" w:hAnsi="Times New Roman" w:cs="Times New Roman"/>
        </w:rPr>
        <w:t>к портальным кранам</w:t>
      </w:r>
      <w:r w:rsidRPr="00550690">
        <w:rPr>
          <w:rFonts w:ascii="Times New Roman" w:hAnsi="Times New Roman" w:cs="Times New Roman"/>
        </w:rPr>
        <w:t xml:space="preserve"> докового комплекса для нужд предприятия  </w:t>
      </w:r>
      <w:r w:rsidRPr="00045C3E">
        <w:rPr>
          <w:rFonts w:ascii="Times New Roman" w:hAnsi="Times New Roman" w:cs="Times New Roman"/>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0C7FCB" w:rsidRPr="00045C3E" w:rsidRDefault="000C7FCB" w:rsidP="000C7FCB">
      <w:pPr>
        <w:pStyle w:val="af5"/>
        <w:numPr>
          <w:ilvl w:val="1"/>
          <w:numId w:val="18"/>
        </w:numPr>
        <w:spacing w:after="0" w:line="240" w:lineRule="auto"/>
        <w:ind w:hanging="77"/>
        <w:jc w:val="both"/>
        <w:rPr>
          <w:rFonts w:ascii="Times New Roman" w:hAnsi="Times New Roman"/>
          <w:color w:val="000000"/>
        </w:rPr>
      </w:pPr>
      <w:proofErr w:type="gramStart"/>
      <w:r w:rsidRPr="00045C3E">
        <w:rPr>
          <w:rFonts w:ascii="Times New Roman" w:hAnsi="Times New Roman"/>
          <w:color w:val="000000"/>
        </w:rPr>
        <w:t>Адрес поставки товара: 298313, Крым, г. Керчь, ул. Танкистов, д. 4.</w:t>
      </w:r>
      <w:proofErr w:type="gramEnd"/>
      <w:r w:rsidRPr="00045C3E">
        <w:rPr>
          <w:rFonts w:ascii="Times New Roman" w:hAnsi="Times New Roman"/>
          <w:color w:val="000000"/>
        </w:rPr>
        <w:t xml:space="preserve"> Доставка за счет Поставщика.</w:t>
      </w:r>
    </w:p>
    <w:p w:rsidR="000C7FCB" w:rsidRPr="00045C3E" w:rsidRDefault="000C7FCB" w:rsidP="000C7FCB">
      <w:pPr>
        <w:pStyle w:val="af5"/>
        <w:numPr>
          <w:ilvl w:val="1"/>
          <w:numId w:val="18"/>
        </w:numPr>
        <w:spacing w:line="240" w:lineRule="auto"/>
        <w:ind w:hanging="77"/>
        <w:jc w:val="both"/>
        <w:rPr>
          <w:rFonts w:ascii="Times New Roman" w:hAnsi="Times New Roman"/>
          <w:color w:val="000000"/>
        </w:rPr>
      </w:pPr>
      <w:r w:rsidRPr="00045C3E">
        <w:rPr>
          <w:rFonts w:ascii="Times New Roman" w:hAnsi="Times New Roman"/>
          <w:color w:val="000000"/>
        </w:rPr>
        <w:t xml:space="preserve">Срок поставки товара: </w:t>
      </w:r>
      <w:r>
        <w:rPr>
          <w:rFonts w:ascii="Times New Roman" w:hAnsi="Times New Roman"/>
          <w:color w:val="000000"/>
        </w:rPr>
        <w:t>45</w:t>
      </w:r>
      <w:r w:rsidRPr="00045C3E">
        <w:rPr>
          <w:rFonts w:ascii="Times New Roman" w:hAnsi="Times New Roman"/>
          <w:color w:val="000000"/>
        </w:rPr>
        <w:t xml:space="preserve"> (</w:t>
      </w:r>
      <w:r>
        <w:rPr>
          <w:rFonts w:ascii="Times New Roman" w:hAnsi="Times New Roman"/>
          <w:color w:val="000000"/>
        </w:rPr>
        <w:t>сорок пять</w:t>
      </w:r>
      <w:r w:rsidRPr="00045C3E">
        <w:rPr>
          <w:rFonts w:ascii="Times New Roman" w:hAnsi="Times New Roman"/>
          <w:color w:val="000000"/>
        </w:rPr>
        <w:t>)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C7FCB" w:rsidRPr="00045C3E" w:rsidRDefault="000C7FCB" w:rsidP="000C7FCB">
      <w:pPr>
        <w:pStyle w:val="af5"/>
        <w:numPr>
          <w:ilvl w:val="1"/>
          <w:numId w:val="18"/>
        </w:numPr>
        <w:spacing w:after="0" w:line="240" w:lineRule="auto"/>
        <w:ind w:hanging="77"/>
        <w:jc w:val="both"/>
        <w:rPr>
          <w:rFonts w:ascii="Times New Roman" w:hAnsi="Times New Roman"/>
          <w:b/>
          <w:color w:val="000000"/>
        </w:rPr>
      </w:pPr>
      <w:r w:rsidRPr="00045C3E">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 xml:space="preserve"> </w:t>
      </w:r>
      <w:r w:rsidRPr="00D22813">
        <w:rPr>
          <w:rFonts w:ascii="Times New Roman" w:hAnsi="Times New Roman"/>
          <w:color w:val="000000"/>
        </w:rPr>
        <w:t>сертификатами на металл, заверенными надлежащим образом и паспортами на изделия.</w:t>
      </w:r>
    </w:p>
    <w:p w:rsidR="000C7FCB" w:rsidRPr="00045C3E" w:rsidRDefault="000C7FCB" w:rsidP="000C7FCB">
      <w:pPr>
        <w:pStyle w:val="af5"/>
        <w:numPr>
          <w:ilvl w:val="1"/>
          <w:numId w:val="18"/>
        </w:numPr>
        <w:spacing w:after="0" w:line="240" w:lineRule="auto"/>
        <w:ind w:hanging="77"/>
        <w:jc w:val="both"/>
        <w:rPr>
          <w:rFonts w:ascii="Times New Roman" w:hAnsi="Times New Roman"/>
          <w:b/>
          <w:color w:val="000000"/>
        </w:rPr>
      </w:pPr>
      <w:r w:rsidRPr="00045C3E">
        <w:rPr>
          <w:rFonts w:ascii="Times New Roman" w:hAnsi="Times New Roman"/>
          <w:color w:val="000000"/>
        </w:rPr>
        <w:t>Перечень необходимого Товара</w:t>
      </w:r>
      <w:r>
        <w:rPr>
          <w:rFonts w:ascii="Times New Roman" w:hAnsi="Times New Roman"/>
          <w:color w:val="000000"/>
        </w:rPr>
        <w:t xml:space="preserve"> </w:t>
      </w:r>
      <w:proofErr w:type="gramStart"/>
      <w:r>
        <w:rPr>
          <w:rFonts w:ascii="Times New Roman" w:hAnsi="Times New Roman"/>
          <w:color w:val="000000"/>
        </w:rPr>
        <w:t>согласно приложения</w:t>
      </w:r>
      <w:proofErr w:type="gramEnd"/>
      <w:r>
        <w:rPr>
          <w:rFonts w:ascii="Times New Roman" w:hAnsi="Times New Roman"/>
          <w:color w:val="000000"/>
        </w:rPr>
        <w:t xml:space="preserve"> №1 /чертежи/</w:t>
      </w:r>
      <w:r w:rsidRPr="00045C3E">
        <w:rPr>
          <w:rFonts w:ascii="Times New Roman" w:hAnsi="Times New Roman"/>
          <w:color w:val="000000"/>
        </w:rPr>
        <w:t>:</w:t>
      </w:r>
    </w:p>
    <w:tbl>
      <w:tblPr>
        <w:tblW w:w="10773" w:type="dxa"/>
        <w:tblLayout w:type="fixed"/>
        <w:tblLook w:val="04A0" w:firstRow="1" w:lastRow="0" w:firstColumn="1" w:lastColumn="0" w:noHBand="0" w:noVBand="1"/>
      </w:tblPr>
      <w:tblGrid>
        <w:gridCol w:w="534"/>
        <w:gridCol w:w="4569"/>
        <w:gridCol w:w="1701"/>
        <w:gridCol w:w="993"/>
        <w:gridCol w:w="1417"/>
        <w:gridCol w:w="1559"/>
      </w:tblGrid>
      <w:tr w:rsidR="000C7FCB" w:rsidRPr="00045C3E" w:rsidTr="00BE1CCA">
        <w:trPr>
          <w:trHeight w:val="62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FCB" w:rsidRDefault="000C7FCB" w:rsidP="000C7FCB">
            <w:pPr>
              <w:spacing w:after="0" w:line="240" w:lineRule="auto"/>
              <w:ind w:left="-207" w:hanging="77"/>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w:t>
            </w:r>
          </w:p>
          <w:p w:rsidR="000C7FCB" w:rsidRPr="00045C3E" w:rsidRDefault="000C7FCB" w:rsidP="000C7FCB">
            <w:pPr>
              <w:spacing w:after="0" w:line="240" w:lineRule="auto"/>
              <w:ind w:left="-207" w:hanging="77"/>
              <w:jc w:val="center"/>
              <w:rPr>
                <w:rFonts w:ascii="Times New Roman" w:eastAsia="Times New Roman" w:hAnsi="Times New Roman"/>
                <w:b/>
                <w:bCs/>
                <w:color w:val="000000"/>
                <w:lang w:eastAsia="ru-RU"/>
              </w:rPr>
            </w:pPr>
            <w:proofErr w:type="spellStart"/>
            <w:r>
              <w:rPr>
                <w:rFonts w:ascii="Times New Roman" w:eastAsia="Times New Roman" w:hAnsi="Times New Roman"/>
                <w:b/>
                <w:bCs/>
                <w:color w:val="000000"/>
                <w:lang w:eastAsia="ru-RU"/>
              </w:rPr>
              <w:t>п.п</w:t>
            </w:r>
            <w:proofErr w:type="spellEnd"/>
            <w:r>
              <w:rPr>
                <w:rFonts w:ascii="Times New Roman" w:eastAsia="Times New Roman" w:hAnsi="Times New Roman"/>
                <w:b/>
                <w:bCs/>
                <w:color w:val="000000"/>
                <w:lang w:eastAsia="ru-RU"/>
              </w:rPr>
              <w:t>.</w:t>
            </w:r>
          </w:p>
        </w:tc>
        <w:tc>
          <w:tcPr>
            <w:tcW w:w="4569" w:type="dxa"/>
            <w:tcBorders>
              <w:top w:val="single" w:sz="4" w:space="0" w:color="auto"/>
              <w:left w:val="nil"/>
              <w:bottom w:val="single" w:sz="4" w:space="0" w:color="auto"/>
              <w:right w:val="single" w:sz="4" w:space="0" w:color="auto"/>
            </w:tcBorders>
            <w:shd w:val="clear" w:color="auto" w:fill="auto"/>
            <w:noWrap/>
            <w:vAlign w:val="bottom"/>
            <w:hideMark/>
          </w:tcPr>
          <w:p w:rsidR="000C7FCB" w:rsidRPr="00045C3E" w:rsidRDefault="000C7FCB" w:rsidP="000C7FCB">
            <w:pPr>
              <w:spacing w:after="0" w:line="240" w:lineRule="auto"/>
              <w:ind w:left="-207" w:hanging="77"/>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Чертеж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C7FCB" w:rsidRPr="00045C3E" w:rsidRDefault="000C7FCB" w:rsidP="000C7FCB">
            <w:pPr>
              <w:spacing w:after="0" w:line="240" w:lineRule="auto"/>
              <w:ind w:left="-207" w:hanging="77"/>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C7FCB" w:rsidRPr="00045C3E" w:rsidRDefault="000C7FCB" w:rsidP="000C7FCB">
            <w:pPr>
              <w:spacing w:after="0" w:line="240" w:lineRule="auto"/>
              <w:ind w:left="-207" w:hanging="77"/>
              <w:jc w:val="center"/>
              <w:rPr>
                <w:rFonts w:ascii="Times New Roman" w:eastAsia="Times New Roman" w:hAnsi="Times New Roman"/>
                <w:b/>
                <w:bCs/>
                <w:lang w:eastAsia="ru-RU"/>
              </w:rPr>
            </w:pPr>
            <w:r w:rsidRPr="00045C3E">
              <w:rPr>
                <w:rFonts w:ascii="Times New Roman" w:eastAsia="Times New Roman" w:hAnsi="Times New Roman"/>
                <w:b/>
                <w:bCs/>
                <w:lang w:eastAsia="ru-RU"/>
              </w:rPr>
              <w:t xml:space="preserve">Цена с НДС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C7FCB" w:rsidRPr="00045C3E" w:rsidRDefault="000C7FCB" w:rsidP="000C7FCB">
            <w:pPr>
              <w:spacing w:after="0" w:line="240" w:lineRule="auto"/>
              <w:ind w:left="-207" w:hanging="77"/>
              <w:jc w:val="center"/>
              <w:rPr>
                <w:rFonts w:ascii="Times New Roman" w:eastAsia="Times New Roman" w:hAnsi="Times New Roman"/>
                <w:b/>
                <w:bCs/>
                <w:color w:val="000000"/>
                <w:lang w:eastAsia="ru-RU"/>
              </w:rPr>
            </w:pPr>
            <w:r w:rsidRPr="00045C3E">
              <w:rPr>
                <w:rFonts w:ascii="Times New Roman" w:eastAsia="Times New Roman" w:hAnsi="Times New Roman"/>
                <w:b/>
                <w:bCs/>
                <w:color w:val="000000"/>
                <w:lang w:eastAsia="ru-RU"/>
              </w:rPr>
              <w:t>Стоимость с НДС</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1.</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045C3E">
              <w:rPr>
                <w:rFonts w:ascii="Times New Roman" w:eastAsia="Times New Roman" w:hAnsi="Times New Roman"/>
                <w:lang w:eastAsia="ru-RU"/>
              </w:rPr>
              <w:t xml:space="preserve">Вал-шестерня быстроходной ступени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8262E">
              <w:rPr>
                <w:rFonts w:ascii="Times New Roman" w:eastAsia="Times New Roman" w:hAnsi="Times New Roman"/>
                <w:lang w:eastAsia="ru-RU"/>
              </w:rPr>
              <w:t>ОГМ-14558</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53 112,04</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106 224,08</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2.</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045C3E">
              <w:rPr>
                <w:rFonts w:ascii="Times New Roman" w:eastAsia="Times New Roman" w:hAnsi="Times New Roman"/>
                <w:lang w:eastAsia="ru-RU"/>
              </w:rPr>
              <w:t xml:space="preserve">Колесо промежуточного вала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45C3E">
              <w:rPr>
                <w:rFonts w:ascii="Times New Roman" w:eastAsia="Times New Roman" w:hAnsi="Times New Roman"/>
                <w:lang w:eastAsia="ru-RU"/>
              </w:rPr>
              <w:t>ОГМ-14558.01</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85 365,98</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170 731,96</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3.</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045C3E">
              <w:rPr>
                <w:rFonts w:ascii="Times New Roman" w:eastAsia="Times New Roman" w:hAnsi="Times New Roman"/>
                <w:lang w:eastAsia="ru-RU"/>
              </w:rPr>
              <w:t xml:space="preserve">Вал-шестерня тихоходной  ступени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8262E">
              <w:rPr>
                <w:rFonts w:ascii="Times New Roman" w:eastAsia="Times New Roman" w:hAnsi="Times New Roman"/>
                <w:lang w:eastAsia="ru-RU"/>
              </w:rPr>
              <w:t>ОГМ-14558.02</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3</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68 312,56</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204 937,68</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sidRPr="00045C3E">
              <w:rPr>
                <w:rFonts w:ascii="Times New Roman" w:eastAsia="Times New Roman" w:hAnsi="Times New Roman"/>
                <w:lang w:eastAsia="ru-RU"/>
              </w:rPr>
              <w:t>4.</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045C3E">
              <w:rPr>
                <w:rFonts w:ascii="Times New Roman" w:eastAsia="Times New Roman" w:hAnsi="Times New Roman"/>
                <w:lang w:eastAsia="ru-RU"/>
              </w:rPr>
              <w:t xml:space="preserve">Колесо тихоходной ступени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45C3E">
              <w:rPr>
                <w:rFonts w:ascii="Times New Roman" w:eastAsia="Times New Roman" w:hAnsi="Times New Roman"/>
                <w:lang w:eastAsia="ru-RU"/>
              </w:rPr>
              <w:t>ОГМ-14558.03</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3</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223 659, 22</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670 977,66</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5.</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 xml:space="preserve">Венец зубчатый ходового колеса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8262E">
              <w:rPr>
                <w:rFonts w:ascii="Times New Roman" w:eastAsia="Times New Roman" w:hAnsi="Times New Roman"/>
                <w:lang w:eastAsia="ru-RU"/>
              </w:rPr>
              <w:t xml:space="preserve">ЭМО-11302  </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10</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202 511, 48</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2 025 114,80  </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6.</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 xml:space="preserve">Венец вал-шестерня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98651F">
              <w:rPr>
                <w:rFonts w:ascii="Times New Roman" w:hAnsi="Times New Roman" w:cs="Times New Roman"/>
                <w:szCs w:val="21"/>
              </w:rPr>
              <w:t xml:space="preserve">ОГМ-11944  </w:t>
            </w:r>
          </w:p>
        </w:tc>
        <w:tc>
          <w:tcPr>
            <w:tcW w:w="993"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5</w:t>
            </w: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45 016,29</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225 081,45 </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7.</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 xml:space="preserve">Шестерня промежуточная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08262E">
              <w:rPr>
                <w:rFonts w:ascii="Times New Roman" w:eastAsia="Times New Roman" w:hAnsi="Times New Roman"/>
                <w:lang w:eastAsia="ru-RU"/>
              </w:rPr>
              <w:t xml:space="preserve">ЭМО-10928  </w:t>
            </w:r>
          </w:p>
        </w:tc>
        <w:tc>
          <w:tcPr>
            <w:tcW w:w="993"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5</w:t>
            </w:r>
          </w:p>
        </w:tc>
        <w:tc>
          <w:tcPr>
            <w:tcW w:w="1417"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61 225,80</w:t>
            </w:r>
          </w:p>
        </w:tc>
        <w:tc>
          <w:tcPr>
            <w:tcW w:w="1559"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306 129,00</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8.</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Механизм передвижения</w:t>
            </w:r>
            <w:r>
              <w:rPr>
                <w:rFonts w:ascii="Times New Roman" w:hAnsi="Times New Roman" w:cs="Times New Roman"/>
                <w:szCs w:val="21"/>
              </w:rPr>
              <w:t xml:space="preserve"> Шестерня поз.45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Pr>
                <w:rFonts w:ascii="Times New Roman" w:hAnsi="Times New Roman" w:cs="Times New Roman"/>
                <w:szCs w:val="21"/>
              </w:rPr>
              <w:t>ОГМ 14 955.01</w:t>
            </w:r>
          </w:p>
        </w:tc>
        <w:tc>
          <w:tcPr>
            <w:tcW w:w="993"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4</w:t>
            </w:r>
          </w:p>
        </w:tc>
        <w:tc>
          <w:tcPr>
            <w:tcW w:w="1417"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22 105,34</w:t>
            </w:r>
          </w:p>
        </w:tc>
        <w:tc>
          <w:tcPr>
            <w:tcW w:w="1559"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88 421,36</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9.</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Механиз</w:t>
            </w:r>
            <w:r>
              <w:rPr>
                <w:rFonts w:ascii="Times New Roman" w:hAnsi="Times New Roman" w:cs="Times New Roman"/>
                <w:szCs w:val="21"/>
              </w:rPr>
              <w:t xml:space="preserve">м передвижения Шестерня поз.12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sidRPr="0098651F">
              <w:rPr>
                <w:rFonts w:ascii="Times New Roman" w:hAnsi="Times New Roman" w:cs="Times New Roman"/>
                <w:szCs w:val="21"/>
              </w:rPr>
              <w:t>ОГМ 14 955.02</w:t>
            </w:r>
          </w:p>
        </w:tc>
        <w:tc>
          <w:tcPr>
            <w:tcW w:w="993"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4</w:t>
            </w:r>
          </w:p>
        </w:tc>
        <w:tc>
          <w:tcPr>
            <w:tcW w:w="1417"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82 456,82</w:t>
            </w:r>
          </w:p>
        </w:tc>
        <w:tc>
          <w:tcPr>
            <w:tcW w:w="1559"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329 827,28</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10.</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r w:rsidRPr="0098651F">
              <w:rPr>
                <w:rFonts w:ascii="Times New Roman" w:hAnsi="Times New Roman" w:cs="Times New Roman"/>
                <w:szCs w:val="21"/>
              </w:rPr>
              <w:t>Механиз</w:t>
            </w:r>
            <w:r>
              <w:rPr>
                <w:rFonts w:ascii="Times New Roman" w:hAnsi="Times New Roman" w:cs="Times New Roman"/>
                <w:szCs w:val="21"/>
              </w:rPr>
              <w:t xml:space="preserve">м передвижения Шестерня поз.13 </w:t>
            </w:r>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Pr>
                <w:rFonts w:ascii="Times New Roman" w:hAnsi="Times New Roman" w:cs="Times New Roman"/>
                <w:szCs w:val="21"/>
              </w:rPr>
              <w:t>ОГМ 14 955.03</w:t>
            </w:r>
          </w:p>
        </w:tc>
        <w:tc>
          <w:tcPr>
            <w:tcW w:w="993"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4</w:t>
            </w:r>
          </w:p>
        </w:tc>
        <w:tc>
          <w:tcPr>
            <w:tcW w:w="1417"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67 415,20</w:t>
            </w:r>
          </w:p>
        </w:tc>
        <w:tc>
          <w:tcPr>
            <w:tcW w:w="1559"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269 660,80</w:t>
            </w:r>
          </w:p>
        </w:tc>
      </w:tr>
      <w:tr w:rsidR="000C7FCB" w:rsidRPr="00045C3E" w:rsidTr="00BE1CCA">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11.</w:t>
            </w:r>
          </w:p>
        </w:tc>
        <w:tc>
          <w:tcPr>
            <w:tcW w:w="4569" w:type="dxa"/>
            <w:tcBorders>
              <w:top w:val="nil"/>
              <w:left w:val="nil"/>
              <w:bottom w:val="single" w:sz="4" w:space="0" w:color="auto"/>
              <w:right w:val="single" w:sz="4" w:space="0" w:color="auto"/>
            </w:tcBorders>
            <w:shd w:val="clear" w:color="auto" w:fill="auto"/>
            <w:noWrap/>
            <w:vAlign w:val="bottom"/>
          </w:tcPr>
          <w:p w:rsidR="000C7FCB" w:rsidRPr="00045C3E" w:rsidRDefault="000C7FCB" w:rsidP="002750D1">
            <w:pPr>
              <w:spacing w:after="0" w:line="240" w:lineRule="auto"/>
              <w:ind w:left="-207" w:firstLine="240"/>
              <w:rPr>
                <w:rFonts w:ascii="Times New Roman" w:eastAsia="Times New Roman" w:hAnsi="Times New Roman"/>
                <w:lang w:eastAsia="ru-RU"/>
              </w:rPr>
            </w:pPr>
            <w:bookmarkStart w:id="0" w:name="_GoBack"/>
            <w:r w:rsidRPr="00B1280C">
              <w:rPr>
                <w:rFonts w:ascii="Times New Roman" w:eastAsia="Times New Roman" w:hAnsi="Times New Roman"/>
                <w:lang w:eastAsia="ru-RU"/>
              </w:rPr>
              <w:t>Зубчат</w:t>
            </w:r>
            <w:r>
              <w:rPr>
                <w:rFonts w:ascii="Times New Roman" w:eastAsia="Times New Roman" w:hAnsi="Times New Roman"/>
                <w:lang w:eastAsia="ru-RU"/>
              </w:rPr>
              <w:t xml:space="preserve">ый венец колеса </w:t>
            </w:r>
            <w:bookmarkEnd w:id="0"/>
          </w:p>
        </w:tc>
        <w:tc>
          <w:tcPr>
            <w:tcW w:w="1701" w:type="dxa"/>
            <w:tcBorders>
              <w:top w:val="nil"/>
              <w:left w:val="nil"/>
              <w:bottom w:val="single" w:sz="4" w:space="0" w:color="auto"/>
              <w:right w:val="single" w:sz="4" w:space="0" w:color="auto"/>
            </w:tcBorders>
            <w:shd w:val="clear" w:color="auto" w:fill="auto"/>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r>
              <w:rPr>
                <w:rFonts w:ascii="Times New Roman" w:eastAsia="Times New Roman" w:hAnsi="Times New Roman"/>
                <w:lang w:eastAsia="ru-RU"/>
              </w:rPr>
              <w:t>ОГМ 14 955.04</w:t>
            </w:r>
          </w:p>
        </w:tc>
        <w:tc>
          <w:tcPr>
            <w:tcW w:w="993"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lang w:eastAsia="ru-RU"/>
              </w:rPr>
            </w:pPr>
            <w:r>
              <w:rPr>
                <w:rFonts w:ascii="Times New Roman" w:eastAsia="Times New Roman" w:hAnsi="Times New Roman"/>
                <w:lang w:eastAsia="ru-RU"/>
              </w:rPr>
              <w:t>8</w:t>
            </w:r>
          </w:p>
        </w:tc>
        <w:tc>
          <w:tcPr>
            <w:tcW w:w="1417"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rPr>
                <w:rFonts w:ascii="Times New Roman" w:eastAsia="Times New Roman" w:hAnsi="Times New Roman"/>
                <w:color w:val="000000"/>
                <w:lang w:eastAsia="ru-RU"/>
              </w:rPr>
            </w:pPr>
            <w:r>
              <w:rPr>
                <w:rFonts w:ascii="Times New Roman" w:eastAsia="Times New Roman" w:hAnsi="Times New Roman"/>
                <w:color w:val="000000"/>
                <w:lang w:eastAsia="ru-RU"/>
              </w:rPr>
              <w:t>172 112,08</w:t>
            </w:r>
          </w:p>
        </w:tc>
        <w:tc>
          <w:tcPr>
            <w:tcW w:w="1559" w:type="dxa"/>
            <w:tcBorders>
              <w:top w:val="nil"/>
              <w:left w:val="nil"/>
              <w:bottom w:val="single" w:sz="4" w:space="0" w:color="auto"/>
              <w:right w:val="single" w:sz="4" w:space="0" w:color="auto"/>
            </w:tcBorders>
            <w:shd w:val="clear" w:color="auto" w:fill="auto"/>
            <w:noWrap/>
            <w:vAlign w:val="bottom"/>
          </w:tcPr>
          <w:p w:rsidR="000C7FCB" w:rsidRDefault="000C7FCB" w:rsidP="000C7FCB">
            <w:pPr>
              <w:spacing w:after="0" w:line="240" w:lineRule="auto"/>
              <w:ind w:left="-207" w:hanging="77"/>
              <w:jc w:val="center"/>
              <w:rPr>
                <w:rFonts w:ascii="Times New Roman" w:eastAsia="Times New Roman" w:hAnsi="Times New Roman"/>
                <w:color w:val="000000"/>
                <w:lang w:eastAsia="ru-RU"/>
              </w:rPr>
            </w:pPr>
            <w:r>
              <w:rPr>
                <w:rFonts w:ascii="Times New Roman" w:eastAsia="Times New Roman" w:hAnsi="Times New Roman"/>
                <w:color w:val="000000"/>
                <w:lang w:eastAsia="ru-RU"/>
              </w:rPr>
              <w:t>1 376 896,64</w:t>
            </w:r>
          </w:p>
        </w:tc>
      </w:tr>
      <w:tr w:rsidR="000C7FCB" w:rsidRPr="00045C3E" w:rsidTr="00BE1CCA">
        <w:trPr>
          <w:trHeight w:val="271"/>
        </w:trPr>
        <w:tc>
          <w:tcPr>
            <w:tcW w:w="534" w:type="dxa"/>
            <w:tcBorders>
              <w:top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p>
        </w:tc>
        <w:tc>
          <w:tcPr>
            <w:tcW w:w="6270" w:type="dxa"/>
            <w:gridSpan w:val="2"/>
            <w:tcBorders>
              <w:top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lang w:eastAsia="ru-RU"/>
              </w:rPr>
            </w:pPr>
          </w:p>
        </w:tc>
        <w:tc>
          <w:tcPr>
            <w:tcW w:w="993" w:type="dxa"/>
            <w:tcBorders>
              <w:top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rPr>
                <w:rFonts w:ascii="Times New Roman" w:eastAsia="Times New Roman" w:hAnsi="Times New Roman"/>
                <w:color w:val="000000"/>
                <w:lang w:eastAsia="ru-RU"/>
              </w:rPr>
            </w:pPr>
            <w:r w:rsidRPr="00045C3E">
              <w:rPr>
                <w:rFonts w:ascii="Times New Roman" w:eastAsia="Times New Roman" w:hAnsi="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tcPr>
          <w:p w:rsidR="000C7FCB" w:rsidRPr="00045C3E" w:rsidRDefault="000C7FCB" w:rsidP="000C7FCB">
            <w:pPr>
              <w:spacing w:after="0" w:line="240" w:lineRule="auto"/>
              <w:ind w:left="-207" w:hanging="77"/>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5 774 002,71</w:t>
            </w:r>
          </w:p>
        </w:tc>
      </w:tr>
    </w:tbl>
    <w:p w:rsidR="000C7FCB" w:rsidRPr="00045C3E" w:rsidRDefault="000C7FCB" w:rsidP="000C7FCB">
      <w:pPr>
        <w:numPr>
          <w:ilvl w:val="1"/>
          <w:numId w:val="18"/>
        </w:numPr>
        <w:suppressAutoHyphens/>
        <w:spacing w:after="0" w:line="240" w:lineRule="auto"/>
        <w:ind w:hanging="77"/>
        <w:jc w:val="both"/>
        <w:rPr>
          <w:rFonts w:ascii="Times New Roman" w:hAnsi="Times New Roman"/>
        </w:rPr>
      </w:pPr>
      <w:r w:rsidRPr="00045C3E">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xml:space="preserve">1.7. </w:t>
      </w:r>
      <w:proofErr w:type="gramStart"/>
      <w:r w:rsidRPr="00045C3E">
        <w:rPr>
          <w:rFonts w:ascii="Times New Roman" w:hAnsi="Times New Roman"/>
          <w:color w:val="000000"/>
          <w:lang w:eastAsia="ru-RU"/>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r w:rsidRPr="000669D2">
        <w:rPr>
          <w:rFonts w:ascii="Times New Roman" w:hAnsi="Times New Roman"/>
          <w:color w:val="000000"/>
          <w:lang w:eastAsia="ru-RU"/>
        </w:rPr>
        <w:t>выбранном Покупателем, при наличии у Поставщика с таким уполномоченным банком заключенного</w:t>
      </w:r>
      <w:proofErr w:type="gramEnd"/>
      <w:r w:rsidRPr="000669D2">
        <w:rPr>
          <w:rFonts w:ascii="Times New Roman" w:hAnsi="Times New Roman"/>
          <w:color w:val="000000"/>
          <w:lang w:eastAsia="ru-RU"/>
        </w:rPr>
        <w:t xml:space="preserve"> Договора о банковском сопровождении.</w:t>
      </w:r>
    </w:p>
    <w:p w:rsidR="000C7FCB" w:rsidRDefault="000C7FCB" w:rsidP="000C7FCB">
      <w:pPr>
        <w:pStyle w:val="af5"/>
        <w:ind w:left="-207" w:hanging="77"/>
        <w:jc w:val="both"/>
        <w:rPr>
          <w:rFonts w:ascii="Times New Roman" w:hAnsi="Times New Roman"/>
          <w:color w:val="000000"/>
          <w:lang w:eastAsia="ru-RU"/>
        </w:rPr>
      </w:pP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1.8. На момент заключения настоящего договора уполномоченным банком Покупателя является «ПРОМСВЯЗЬБАНК»  (ПАО).</w:t>
      </w:r>
    </w:p>
    <w:p w:rsidR="000C7FCB" w:rsidRDefault="000C7FCB" w:rsidP="000C7FCB">
      <w:pPr>
        <w:pStyle w:val="af5"/>
        <w:ind w:left="-207" w:hanging="77"/>
        <w:jc w:val="both"/>
        <w:rPr>
          <w:rFonts w:ascii="Times New Roman" w:hAnsi="Times New Roman"/>
          <w:color w:val="000000"/>
          <w:lang w:eastAsia="ru-RU"/>
        </w:rPr>
      </w:pPr>
    </w:p>
    <w:p w:rsidR="000C7FCB" w:rsidRPr="00045C3E" w:rsidRDefault="000C7FCB" w:rsidP="000C7FCB">
      <w:pPr>
        <w:pStyle w:val="af5"/>
        <w:ind w:left="-207" w:hanging="77"/>
        <w:jc w:val="both"/>
        <w:rPr>
          <w:rFonts w:ascii="Times New Roman" w:hAnsi="Times New Roman"/>
          <w:b/>
          <w:color w:val="000000"/>
          <w:lang w:eastAsia="ru-RU"/>
        </w:rPr>
      </w:pPr>
      <w:r w:rsidRPr="00045C3E">
        <w:rPr>
          <w:rFonts w:ascii="Times New Roman" w:hAnsi="Times New Roman"/>
          <w:b/>
          <w:color w:val="000000"/>
          <w:lang w:eastAsia="ru-RU"/>
        </w:rPr>
        <w:t xml:space="preserve">2.  Требования к качеству и безопасности товара: </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национальные стандарты РФ;</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правила по стандартизации, нормы и рекомендации в области стандартизации;</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общероссийские классификаторы технико-экономической и социальной информации;</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lastRenderedPageBreak/>
        <w:t xml:space="preserve">2.3. «Изделия» выполнить по чертежам «Заказчика», чертежи ОГМ-14558, ОГМ-14558-01, ОГМ-14558-  02, ОГМ-14558-03,  </w:t>
      </w:r>
      <w:r w:rsidRPr="00622557">
        <w:rPr>
          <w:rFonts w:ascii="Times New Roman" w:hAnsi="Times New Roman"/>
          <w:color w:val="000000"/>
          <w:lang w:eastAsia="ru-RU"/>
        </w:rPr>
        <w:t>черт. ОГМ-14233-01-а</w:t>
      </w:r>
      <w:r>
        <w:rPr>
          <w:rFonts w:ascii="Times New Roman" w:hAnsi="Times New Roman"/>
          <w:color w:val="000000"/>
          <w:lang w:eastAsia="ru-RU"/>
        </w:rPr>
        <w:t xml:space="preserve">, </w:t>
      </w:r>
      <w:r w:rsidRPr="00622557">
        <w:rPr>
          <w:rFonts w:ascii="Times New Roman" w:hAnsi="Times New Roman"/>
          <w:color w:val="000000"/>
          <w:lang w:eastAsia="ru-RU"/>
        </w:rPr>
        <w:t xml:space="preserve"> </w:t>
      </w:r>
      <w:r>
        <w:rPr>
          <w:rFonts w:ascii="Times New Roman" w:hAnsi="Times New Roman"/>
          <w:color w:val="000000"/>
          <w:lang w:eastAsia="ru-RU"/>
        </w:rPr>
        <w:t>черт. ОГМ-14233-02</w:t>
      </w:r>
      <w:r w:rsidRPr="00622557">
        <w:rPr>
          <w:rFonts w:ascii="Times New Roman" w:hAnsi="Times New Roman"/>
          <w:color w:val="000000"/>
          <w:lang w:eastAsia="ru-RU"/>
        </w:rPr>
        <w:t xml:space="preserve">-а </w:t>
      </w:r>
      <w:r w:rsidRPr="00045C3E">
        <w:rPr>
          <w:rFonts w:ascii="Times New Roman" w:hAnsi="Times New Roman"/>
          <w:color w:val="000000"/>
          <w:lang w:eastAsia="ru-RU"/>
        </w:rPr>
        <w:t>строго соблюдая технические требования чертежей.</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2.4. Чертежи «Изделий» прилагаются в приложении №1 к техническому заданию.</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2.5. Ответственность за безопасность эксплуатации поставляемого товара в гарантийный период несет Поставщик.</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2.6. Риск случайного повреждения товара до получения его Заказчиком на собственном складе, несет Поставщик.</w:t>
      </w:r>
    </w:p>
    <w:p w:rsidR="000C7FCB" w:rsidRPr="00045C3E" w:rsidRDefault="000C7FCB" w:rsidP="000C7FCB">
      <w:pPr>
        <w:pStyle w:val="af5"/>
        <w:ind w:left="-207" w:hanging="77"/>
        <w:jc w:val="both"/>
        <w:rPr>
          <w:rFonts w:ascii="Times New Roman" w:hAnsi="Times New Roman"/>
          <w:color w:val="000000"/>
          <w:lang w:eastAsia="ru-RU"/>
        </w:rPr>
      </w:pPr>
    </w:p>
    <w:p w:rsidR="000C7FCB" w:rsidRPr="00045C3E" w:rsidRDefault="000C7FCB" w:rsidP="000C7FCB">
      <w:pPr>
        <w:pStyle w:val="af5"/>
        <w:ind w:left="-207" w:hanging="77"/>
        <w:jc w:val="both"/>
        <w:rPr>
          <w:rFonts w:ascii="Times New Roman" w:hAnsi="Times New Roman"/>
          <w:b/>
          <w:color w:val="000000"/>
          <w:lang w:eastAsia="ru-RU"/>
        </w:rPr>
      </w:pPr>
      <w:r w:rsidRPr="00045C3E">
        <w:rPr>
          <w:rFonts w:ascii="Times New Roman" w:hAnsi="Times New Roman"/>
          <w:b/>
          <w:color w:val="000000"/>
          <w:lang w:eastAsia="ru-RU"/>
        </w:rPr>
        <w:t>3.  Требования к техническим характеристикам товара и условиям договора:</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xml:space="preserve">3.1. Товар должен соответствовать всем критериям, описанным в </w:t>
      </w:r>
      <w:proofErr w:type="spellStart"/>
      <w:r w:rsidRPr="00045C3E">
        <w:rPr>
          <w:rFonts w:ascii="Times New Roman" w:hAnsi="Times New Roman"/>
          <w:color w:val="000000"/>
          <w:lang w:eastAsia="ru-RU"/>
        </w:rPr>
        <w:t>п.п</w:t>
      </w:r>
      <w:proofErr w:type="spellEnd"/>
      <w:r w:rsidRPr="00045C3E">
        <w:rPr>
          <w:rFonts w:ascii="Times New Roman" w:hAnsi="Times New Roman"/>
          <w:color w:val="000000"/>
          <w:lang w:eastAsia="ru-RU"/>
        </w:rPr>
        <w:t>. 1.3. – 1.6., 2 настоящего Технического задания.</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045C3E">
        <w:rPr>
          <w:rFonts w:ascii="Times New Roman" w:hAnsi="Times New Roman"/>
          <w:color w:val="000000"/>
          <w:lang w:eastAsia="ru-RU"/>
        </w:rPr>
        <w:cr/>
        <w:t xml:space="preserve">3.3. В </w:t>
      </w:r>
      <w:proofErr w:type="gramStart"/>
      <w:r w:rsidRPr="00045C3E">
        <w:rPr>
          <w:rFonts w:ascii="Times New Roman" w:hAnsi="Times New Roman"/>
          <w:color w:val="000000"/>
          <w:lang w:eastAsia="ru-RU"/>
        </w:rPr>
        <w:t>случае</w:t>
      </w:r>
      <w:proofErr w:type="gramEnd"/>
      <w:r w:rsidRPr="00045C3E">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xml:space="preserve">В </w:t>
      </w:r>
      <w:proofErr w:type="gramStart"/>
      <w:r w:rsidRPr="00045C3E">
        <w:rPr>
          <w:rFonts w:ascii="Times New Roman" w:hAnsi="Times New Roman"/>
          <w:color w:val="000000"/>
          <w:lang w:eastAsia="ru-RU"/>
        </w:rPr>
        <w:t>случае</w:t>
      </w:r>
      <w:proofErr w:type="gramEnd"/>
      <w:r w:rsidRPr="00045C3E">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0C7FCB" w:rsidRPr="00045C3E" w:rsidRDefault="000C7FCB" w:rsidP="000C7FCB">
      <w:pPr>
        <w:pStyle w:val="af5"/>
        <w:ind w:left="-207" w:hanging="77"/>
        <w:jc w:val="both"/>
        <w:rPr>
          <w:rFonts w:ascii="Times New Roman" w:hAnsi="Times New Roman"/>
          <w:color w:val="000000"/>
          <w:lang w:eastAsia="ru-RU"/>
        </w:rPr>
      </w:pPr>
      <w:r w:rsidRPr="00045C3E">
        <w:rPr>
          <w:rFonts w:ascii="Times New Roman" w:hAnsi="Times New Roman"/>
          <w:color w:val="000000"/>
          <w:lang w:eastAsia="ru-RU"/>
        </w:rPr>
        <w:t xml:space="preserve">3.5. </w:t>
      </w:r>
      <w:proofErr w:type="gramStart"/>
      <w:r w:rsidRPr="00045C3E">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0C7FCB" w:rsidRDefault="000C7FCB" w:rsidP="000C7FCB">
      <w:pPr>
        <w:pStyle w:val="af5"/>
        <w:spacing w:after="0" w:line="240" w:lineRule="auto"/>
        <w:ind w:left="-207" w:hanging="77"/>
        <w:jc w:val="both"/>
        <w:rPr>
          <w:rFonts w:ascii="Times New Roman" w:hAnsi="Times New Roman"/>
          <w:b/>
          <w:color w:val="000000"/>
        </w:rPr>
      </w:pPr>
    </w:p>
    <w:p w:rsidR="000C7FCB" w:rsidRPr="00045C3E" w:rsidRDefault="000C7FCB" w:rsidP="000C7FCB">
      <w:pPr>
        <w:pStyle w:val="af5"/>
        <w:spacing w:after="0" w:line="240" w:lineRule="auto"/>
        <w:ind w:left="-207" w:hanging="77"/>
        <w:jc w:val="both"/>
        <w:rPr>
          <w:rFonts w:ascii="Times New Roman" w:hAnsi="Times New Roman"/>
          <w:b/>
          <w:lang w:eastAsia="ru-RU"/>
        </w:rPr>
      </w:pPr>
      <w:r w:rsidRPr="00045C3E">
        <w:rPr>
          <w:rFonts w:ascii="Times New Roman" w:hAnsi="Times New Roman"/>
          <w:b/>
          <w:color w:val="000000"/>
        </w:rPr>
        <w:t>4.</w:t>
      </w:r>
      <w:r w:rsidRPr="00045C3E">
        <w:rPr>
          <w:rFonts w:ascii="Times New Roman" w:hAnsi="Times New Roman"/>
          <w:color w:val="000000"/>
        </w:rPr>
        <w:t xml:space="preserve">  </w:t>
      </w:r>
      <w:r w:rsidRPr="00045C3E">
        <w:rPr>
          <w:rFonts w:ascii="Times New Roman" w:hAnsi="Times New Roman"/>
          <w:b/>
          <w:lang w:eastAsia="ru-RU"/>
        </w:rPr>
        <w:t>Гарантийные обязательства:</w:t>
      </w:r>
    </w:p>
    <w:p w:rsidR="000C7FCB" w:rsidRPr="00045C3E" w:rsidRDefault="000C7FCB" w:rsidP="000C7FCB">
      <w:pPr>
        <w:spacing w:after="0" w:line="240" w:lineRule="auto"/>
        <w:ind w:left="-207" w:hanging="77"/>
        <w:contextualSpacing/>
        <w:jc w:val="both"/>
        <w:rPr>
          <w:rFonts w:ascii="Times New Roman" w:hAnsi="Times New Roman" w:cs="Times New Roman"/>
          <w:b/>
          <w:lang w:eastAsia="ru-RU"/>
        </w:rPr>
      </w:pPr>
      <w:r w:rsidRPr="00045C3E">
        <w:rPr>
          <w:rFonts w:ascii="Times New Roman" w:hAnsi="Times New Roman"/>
          <w:lang w:eastAsia="ru-RU"/>
        </w:rPr>
        <w:t>4.1. Гарантийный срок для поставляемого товара -  12 (двенадцать) месяцев с момента ввода в эксплуатацию.</w:t>
      </w:r>
    </w:p>
    <w:p w:rsidR="000C7FCB" w:rsidRPr="00045C3E" w:rsidRDefault="000C7FCB" w:rsidP="000C7FCB">
      <w:pPr>
        <w:spacing w:after="0"/>
        <w:ind w:left="-207" w:hanging="77"/>
        <w:contextualSpacing/>
        <w:jc w:val="both"/>
        <w:rPr>
          <w:rFonts w:ascii="Times New Roman" w:hAnsi="Times New Roman" w:cs="Times New Roman"/>
        </w:rPr>
      </w:pPr>
      <w:r w:rsidRPr="00045C3E">
        <w:rPr>
          <w:rFonts w:ascii="Times New Roman" w:hAnsi="Times New Roman" w:cs="Times New Roman"/>
        </w:rPr>
        <w:t>4.2.</w:t>
      </w:r>
      <w:r w:rsidRPr="00045C3E">
        <w:t xml:space="preserve"> </w:t>
      </w:r>
      <w:r w:rsidRPr="00045C3E">
        <w:rPr>
          <w:rFonts w:ascii="Times New Roman" w:hAnsi="Times New Roman" w:cs="Times New Roman"/>
        </w:rPr>
        <w:t xml:space="preserve">Поставляемое оборудование должно быть новым и произведено не ранее 2022 года. </w:t>
      </w:r>
    </w:p>
    <w:p w:rsidR="000C7FCB" w:rsidRDefault="000C7FCB" w:rsidP="000C7FCB">
      <w:pPr>
        <w:spacing w:after="0"/>
        <w:ind w:left="-207" w:hanging="77"/>
        <w:contextualSpacing/>
        <w:jc w:val="both"/>
        <w:rPr>
          <w:rFonts w:ascii="Times New Roman" w:hAnsi="Times New Roman" w:cs="Times New Roman"/>
        </w:rPr>
      </w:pPr>
      <w:r w:rsidRPr="00045C3E">
        <w:rPr>
          <w:rFonts w:ascii="Times New Roman" w:hAnsi="Times New Roman" w:cs="Times New Roman"/>
        </w:rPr>
        <w:t xml:space="preserve">4.3. Оборудование не должно быть выставочным образцом, в том числе не должно быть восстановлено после </w:t>
      </w:r>
    </w:p>
    <w:p w:rsidR="000C7FCB" w:rsidRPr="00045C3E" w:rsidRDefault="000C7FCB" w:rsidP="000C7FCB">
      <w:pPr>
        <w:spacing w:after="0"/>
        <w:ind w:left="-207" w:hanging="77"/>
        <w:contextualSpacing/>
        <w:jc w:val="both"/>
        <w:rPr>
          <w:rFonts w:ascii="Times New Roman" w:hAnsi="Times New Roman" w:cs="Times New Roman"/>
        </w:rPr>
      </w:pPr>
      <w:r w:rsidRPr="00045C3E">
        <w:rPr>
          <w:rFonts w:ascii="Times New Roman" w:hAnsi="Times New Roman" w:cs="Times New Roman"/>
        </w:rPr>
        <w:t>эксплуатации, даже в случае замены узлов/механизмов/агрегатов для восстановления потребительских свойств.</w:t>
      </w:r>
    </w:p>
    <w:p w:rsidR="000C7FCB" w:rsidRPr="00045C3E" w:rsidRDefault="000C7FCB" w:rsidP="000C7FCB">
      <w:pPr>
        <w:spacing w:after="0"/>
        <w:ind w:left="-207" w:hanging="77"/>
        <w:contextualSpacing/>
        <w:jc w:val="both"/>
        <w:rPr>
          <w:rFonts w:ascii="Times New Roman" w:hAnsi="Times New Roman" w:cs="Times New Roman"/>
        </w:rPr>
      </w:pPr>
    </w:p>
    <w:p w:rsidR="000C7FCB" w:rsidRPr="00045C3E" w:rsidRDefault="000C7FCB" w:rsidP="000C7FCB">
      <w:pPr>
        <w:spacing w:after="0"/>
        <w:ind w:left="-207" w:hanging="77"/>
        <w:contextualSpacing/>
        <w:jc w:val="both"/>
        <w:rPr>
          <w:rFonts w:ascii="Times New Roman" w:hAnsi="Times New Roman" w:cs="Times New Roman"/>
        </w:rPr>
      </w:pPr>
      <w:r w:rsidRPr="00045C3E">
        <w:rPr>
          <w:rFonts w:ascii="Times New Roman" w:hAnsi="Times New Roman"/>
          <w:b/>
          <w:color w:val="000000"/>
        </w:rPr>
        <w:t>5.  Требования к Поставщику:</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5.3. Иметь ресурсные возможности (финансовые, материально-технические, трудовые);</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5.5. Иметь соответствующие разрешительные документы на исполнение услуг по договору.</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5.6. Обладать необходимыми профессиональными знаниями, опытом и репутацией.</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 xml:space="preserve">5.7. Поставщик должен осуществлять </w:t>
      </w:r>
      <w:proofErr w:type="gramStart"/>
      <w:r w:rsidRPr="00045C3E">
        <w:rPr>
          <w:rFonts w:ascii="Times New Roman" w:hAnsi="Times New Roman"/>
          <w:color w:val="000000"/>
        </w:rPr>
        <w:t>гарантийное</w:t>
      </w:r>
      <w:proofErr w:type="gramEnd"/>
      <w:r w:rsidRPr="00045C3E">
        <w:rPr>
          <w:rFonts w:ascii="Times New Roman" w:hAnsi="Times New Roman"/>
          <w:color w:val="000000"/>
        </w:rPr>
        <w:t xml:space="preserve"> и  после гарантийное обслуживание. В </w:t>
      </w:r>
      <w:proofErr w:type="gramStart"/>
      <w:r w:rsidRPr="00045C3E">
        <w:rPr>
          <w:rFonts w:ascii="Times New Roman" w:hAnsi="Times New Roman"/>
          <w:color w:val="000000"/>
        </w:rPr>
        <w:t>случае</w:t>
      </w:r>
      <w:proofErr w:type="gramEnd"/>
      <w:r w:rsidRPr="00045C3E">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0C7FCB" w:rsidRPr="00045C3E" w:rsidRDefault="000C7FCB" w:rsidP="000C7FCB">
      <w:pPr>
        <w:pStyle w:val="af5"/>
        <w:ind w:left="-207" w:hanging="77"/>
        <w:jc w:val="both"/>
        <w:rPr>
          <w:rFonts w:ascii="Times New Roman" w:hAnsi="Times New Roman"/>
          <w:b/>
          <w:color w:val="000000"/>
        </w:rPr>
      </w:pP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b/>
          <w:color w:val="000000"/>
        </w:rPr>
        <w:t>6.  Условия оплаты:</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 xml:space="preserve">6.1. </w:t>
      </w:r>
      <w:proofErr w:type="gramStart"/>
      <w:r w:rsidRPr="00045C3E">
        <w:rPr>
          <w:rFonts w:ascii="Times New Roman" w:hAnsi="Times New Roman"/>
          <w:color w:val="000000"/>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w:t>
      </w:r>
      <w:r w:rsidRPr="00045C3E">
        <w:rPr>
          <w:rFonts w:ascii="Times New Roman" w:hAnsi="Times New Roman"/>
          <w:color w:val="000000"/>
        </w:rPr>
        <w:lastRenderedPageBreak/>
        <w:t>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5C3E">
        <w:rPr>
          <w:rFonts w:ascii="Times New Roman" w:hAnsi="Times New Roman"/>
          <w:color w:val="000000"/>
        </w:rPr>
        <w:t xml:space="preserve"> Договора о банковском сопровождении.</w:t>
      </w:r>
    </w:p>
    <w:p w:rsidR="000C7FCB" w:rsidRPr="00045C3E" w:rsidRDefault="000C7FCB" w:rsidP="000C7FCB">
      <w:pPr>
        <w:pStyle w:val="af5"/>
        <w:ind w:left="-207" w:hanging="77"/>
        <w:jc w:val="both"/>
        <w:rPr>
          <w:rFonts w:ascii="Times New Roman" w:hAnsi="Times New Roman"/>
          <w:color w:val="000000"/>
        </w:rPr>
      </w:pPr>
      <w:r w:rsidRPr="00045C3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C7FCB" w:rsidRPr="00045C3E" w:rsidRDefault="000C7FCB" w:rsidP="000C7FCB">
      <w:pPr>
        <w:pStyle w:val="af5"/>
        <w:spacing w:line="240" w:lineRule="auto"/>
        <w:ind w:left="-207" w:hanging="77"/>
        <w:jc w:val="both"/>
        <w:rPr>
          <w:rFonts w:ascii="Times New Roman" w:hAnsi="Times New Roman"/>
          <w:color w:val="000000"/>
        </w:rPr>
      </w:pPr>
      <w:r w:rsidRPr="00045C3E">
        <w:rPr>
          <w:rFonts w:ascii="Times New Roman" w:hAnsi="Times New Roman"/>
          <w:color w:val="000000"/>
        </w:rPr>
        <w:t xml:space="preserve">6.2.  Авансовый платёж в размере не более 70% от общей стоимости спецификации. </w:t>
      </w:r>
    </w:p>
    <w:p w:rsidR="000C7FCB" w:rsidRPr="00045C3E" w:rsidRDefault="000C7FCB" w:rsidP="000C7FCB">
      <w:pPr>
        <w:pStyle w:val="af5"/>
        <w:spacing w:line="240" w:lineRule="auto"/>
        <w:ind w:left="-207" w:hanging="77"/>
        <w:jc w:val="both"/>
        <w:rPr>
          <w:rFonts w:ascii="Times New Roman" w:hAnsi="Times New Roman"/>
          <w:color w:val="000000"/>
        </w:rPr>
      </w:pPr>
      <w:r w:rsidRPr="00045C3E">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0C7FCB" w:rsidRPr="00045C3E" w:rsidRDefault="000C7FCB" w:rsidP="000C7FCB">
      <w:pPr>
        <w:pStyle w:val="af5"/>
        <w:spacing w:line="240" w:lineRule="auto"/>
        <w:ind w:left="-207" w:hanging="77"/>
        <w:jc w:val="both"/>
        <w:rPr>
          <w:rFonts w:ascii="Times New Roman" w:hAnsi="Times New Roman"/>
          <w:color w:val="000000"/>
        </w:rPr>
      </w:pPr>
    </w:p>
    <w:p w:rsidR="000C7FCB" w:rsidRPr="00045C3E" w:rsidRDefault="000C7FCB" w:rsidP="000C7FCB">
      <w:pPr>
        <w:pStyle w:val="af5"/>
        <w:spacing w:line="240" w:lineRule="auto"/>
        <w:ind w:left="-207" w:hanging="77"/>
        <w:jc w:val="both"/>
        <w:rPr>
          <w:rFonts w:ascii="Times New Roman" w:hAnsi="Times New Roman"/>
          <w:b/>
        </w:rPr>
      </w:pPr>
      <w:r w:rsidRPr="00045C3E">
        <w:rPr>
          <w:rFonts w:ascii="Times New Roman" w:hAnsi="Times New Roman"/>
          <w:b/>
        </w:rPr>
        <w:t xml:space="preserve">7. </w:t>
      </w:r>
      <w:proofErr w:type="spellStart"/>
      <w:r w:rsidRPr="00045C3E">
        <w:rPr>
          <w:rFonts w:ascii="Times New Roman" w:hAnsi="Times New Roman"/>
          <w:b/>
        </w:rPr>
        <w:t>Обеспечене</w:t>
      </w:r>
      <w:proofErr w:type="spellEnd"/>
      <w:r w:rsidRPr="00045C3E">
        <w:rPr>
          <w:rFonts w:ascii="Times New Roman" w:hAnsi="Times New Roman"/>
          <w:b/>
        </w:rPr>
        <w:t xml:space="preserve"> договора</w:t>
      </w:r>
      <w:r w:rsidRPr="00045C3E">
        <w:rPr>
          <w:rFonts w:ascii="Times New Roman" w:hAnsi="Times New Roman"/>
        </w:rPr>
        <w:t xml:space="preserve"> (применяется для обеспечения исполнения обязательств по возврату аванса)</w:t>
      </w:r>
      <w:r w:rsidRPr="00045C3E">
        <w:rPr>
          <w:rFonts w:ascii="Times New Roman" w:hAnsi="Times New Roman"/>
          <w:b/>
        </w:rPr>
        <w:t>:</w:t>
      </w:r>
    </w:p>
    <w:p w:rsidR="000C7FCB" w:rsidRPr="00045C3E" w:rsidRDefault="000C7FCB" w:rsidP="000C7FCB">
      <w:pPr>
        <w:pStyle w:val="af5"/>
        <w:spacing w:after="0" w:line="240" w:lineRule="auto"/>
        <w:ind w:left="-207" w:hanging="77"/>
        <w:jc w:val="both"/>
        <w:rPr>
          <w:rFonts w:ascii="Times New Roman" w:hAnsi="Times New Roman"/>
          <w:color w:val="000000"/>
          <w:lang w:val="x-none"/>
        </w:rPr>
      </w:pPr>
      <w:r w:rsidRPr="00045C3E">
        <w:rPr>
          <w:rFonts w:ascii="Times New Roman" w:hAnsi="Times New Roman"/>
          <w:color w:val="000000"/>
        </w:rPr>
        <w:t xml:space="preserve">7.1. </w:t>
      </w:r>
      <w:r w:rsidRPr="00045C3E">
        <w:rPr>
          <w:rFonts w:ascii="Times New Roman" w:hAnsi="Times New Roman"/>
          <w:color w:val="000000"/>
          <w:lang w:val="x-none"/>
        </w:rPr>
        <w:t xml:space="preserve">Поставщик обязуется предоставить в срок не позднее 15 (пятнадцати) </w:t>
      </w:r>
      <w:r w:rsidRPr="00045C3E">
        <w:rPr>
          <w:rFonts w:ascii="Times New Roman" w:hAnsi="Times New Roman"/>
          <w:color w:val="000000"/>
        </w:rPr>
        <w:t xml:space="preserve">календарных </w:t>
      </w:r>
      <w:r w:rsidRPr="00045C3E">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0C7FCB" w:rsidRPr="00045C3E" w:rsidRDefault="000C7FCB" w:rsidP="000C7FCB">
      <w:pPr>
        <w:autoSpaceDE w:val="0"/>
        <w:autoSpaceDN w:val="0"/>
        <w:adjustRightInd w:val="0"/>
        <w:spacing w:after="0" w:line="240" w:lineRule="auto"/>
        <w:ind w:left="-207" w:hanging="77"/>
        <w:rPr>
          <w:rFonts w:ascii="Times New Roman" w:hAnsi="Times New Roman" w:cs="Times New Roman"/>
          <w:color w:val="000000"/>
          <w:lang w:val="x-none"/>
        </w:rPr>
      </w:pPr>
      <w:r w:rsidRPr="00045C3E">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0C7FCB" w:rsidRPr="00045C3E" w:rsidRDefault="000C7FCB" w:rsidP="000C7FCB">
      <w:pPr>
        <w:autoSpaceDE w:val="0"/>
        <w:autoSpaceDN w:val="0"/>
        <w:adjustRightInd w:val="0"/>
        <w:spacing w:after="0" w:line="240" w:lineRule="auto"/>
        <w:ind w:left="-207" w:hanging="77"/>
        <w:rPr>
          <w:rFonts w:ascii="Times New Roman" w:hAnsi="Times New Roman" w:cs="Times New Roman"/>
          <w:color w:val="000000"/>
          <w:lang w:val="x-none"/>
        </w:rPr>
      </w:pPr>
      <w:r w:rsidRPr="00045C3E">
        <w:rPr>
          <w:rFonts w:ascii="Times New Roman" w:hAnsi="Times New Roman" w:cs="Times New Roman"/>
          <w:color w:val="000000"/>
          <w:lang w:val="x-none"/>
        </w:rPr>
        <w:t>денежных средств путем их перечисления Заказчику (обеспечительный платеж).</w:t>
      </w:r>
    </w:p>
    <w:p w:rsidR="000C7FCB" w:rsidRPr="00045C3E" w:rsidRDefault="000C7FCB" w:rsidP="000C7FCB">
      <w:pPr>
        <w:autoSpaceDE w:val="0"/>
        <w:autoSpaceDN w:val="0"/>
        <w:adjustRightInd w:val="0"/>
        <w:spacing w:after="0" w:line="240" w:lineRule="auto"/>
        <w:ind w:left="-207" w:hanging="77"/>
        <w:rPr>
          <w:rFonts w:ascii="Times New Roman" w:hAnsi="Times New Roman" w:cs="Times New Roman"/>
          <w:color w:val="000000"/>
          <w:lang w:val="x-none"/>
        </w:rPr>
      </w:pPr>
      <w:r w:rsidRPr="00045C3E">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C7FCB" w:rsidRPr="00045C3E" w:rsidRDefault="000C7FCB" w:rsidP="000C7FCB">
      <w:pPr>
        <w:autoSpaceDE w:val="0"/>
        <w:autoSpaceDN w:val="0"/>
        <w:adjustRightInd w:val="0"/>
        <w:spacing w:after="0" w:line="240" w:lineRule="auto"/>
        <w:ind w:left="-207" w:hanging="77"/>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0C7FCB" w:rsidRPr="00045C3E" w:rsidRDefault="000C7FCB" w:rsidP="000C7FCB">
      <w:pPr>
        <w:autoSpaceDE w:val="0"/>
        <w:autoSpaceDN w:val="0"/>
        <w:adjustRightInd w:val="0"/>
        <w:spacing w:after="0" w:line="240" w:lineRule="auto"/>
        <w:ind w:left="-207" w:hanging="77"/>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C7FCB" w:rsidRPr="00045C3E" w:rsidRDefault="000C7FCB" w:rsidP="000C7FCB">
      <w:pPr>
        <w:spacing w:after="0" w:line="240" w:lineRule="auto"/>
        <w:ind w:left="-207" w:hanging="77"/>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045C3E">
        <w:rPr>
          <w:rFonts w:ascii="Times New Roman" w:hAnsi="Times New Roman" w:cs="Times New Roman"/>
          <w:color w:val="000000"/>
        </w:rPr>
        <w:t xml:space="preserve"> по договору, </w:t>
      </w:r>
      <w:r w:rsidRPr="00045C3E">
        <w:rPr>
          <w:rFonts w:ascii="Times New Roman" w:hAnsi="Times New Roman" w:cs="Times New Roman"/>
          <w:color w:val="000000"/>
          <w:lang w:val="x-none"/>
        </w:rPr>
        <w:t>плюс 60 (шестьдесят) дней.</w:t>
      </w:r>
    </w:p>
    <w:p w:rsidR="00930BE7" w:rsidRDefault="00930BE7" w:rsidP="000C7FCB">
      <w:pPr>
        <w:pStyle w:val="36"/>
        <w:spacing w:before="0" w:line="360" w:lineRule="auto"/>
        <w:ind w:left="-207" w:hanging="77"/>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0C7FCB" w:rsidRDefault="000C7FCB"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0C7FC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0C7FCB" w:rsidRDefault="000C7FCB"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C7FCB"/>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50D1"/>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1C5B"/>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1CCA"/>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88ED-DCC1-451D-B4AE-7EB9729D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2023-04-04T10:50:00Z</dcterms:modified>
</cp:coreProperties>
</file>