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A2145" w:rsidRDefault="00CD6302" w:rsidP="00FA2145">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A2145">
        <w:rPr>
          <w:rFonts w:ascii="Times New Roman" w:eastAsia="Times New Roman" w:hAnsi="Times New Roman" w:cs="Times New Roman"/>
          <w:b/>
          <w:sz w:val="28"/>
          <w:szCs w:val="28"/>
        </w:rPr>
        <w:t xml:space="preserve">СТАЛЬНЫХ КАНАТОВ (РЭН) В </w:t>
      </w:r>
      <w:proofErr w:type="gramStart"/>
      <w:r w:rsidR="00FA2145">
        <w:rPr>
          <w:rFonts w:ascii="Times New Roman" w:eastAsia="Times New Roman" w:hAnsi="Times New Roman" w:cs="Times New Roman"/>
          <w:b/>
          <w:sz w:val="28"/>
          <w:szCs w:val="28"/>
        </w:rPr>
        <w:t>РАМКАХ</w:t>
      </w:r>
      <w:proofErr w:type="gramEnd"/>
      <w:r w:rsidR="00FA2145">
        <w:rPr>
          <w:rFonts w:ascii="Times New Roman" w:eastAsia="Times New Roman" w:hAnsi="Times New Roman" w:cs="Times New Roman"/>
          <w:b/>
          <w:sz w:val="28"/>
          <w:szCs w:val="28"/>
        </w:rPr>
        <w:t xml:space="preserve"> </w:t>
      </w:r>
      <w:r w:rsidR="00FA2145" w:rsidRPr="00FA2145">
        <w:rPr>
          <w:rFonts w:ascii="Times New Roman" w:eastAsia="Times New Roman" w:hAnsi="Times New Roman" w:cs="Times New Roman"/>
          <w:b/>
          <w:sz w:val="28"/>
          <w:szCs w:val="28"/>
        </w:rPr>
        <w:t>ПОДГОТОВКИ ПРОИЗВОДСТВА К  СТРОИТЕЛЬСТВУ ЗАКАЗА МОРСКОГО ТРАНС</w:t>
      </w:r>
      <w:r w:rsidR="00FA2145">
        <w:rPr>
          <w:rFonts w:ascii="Times New Roman" w:eastAsia="Times New Roman" w:hAnsi="Times New Roman" w:cs="Times New Roman"/>
          <w:b/>
          <w:sz w:val="28"/>
          <w:szCs w:val="28"/>
        </w:rPr>
        <w:t>ПОРТА ВООРУЖЕНИЯ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FA2145">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A2145">
        <w:rPr>
          <w:rFonts w:ascii="Times New Roman" w:hAnsi="Times New Roman" w:cs="Times New Roman"/>
          <w:sz w:val="24"/>
          <w:szCs w:val="24"/>
        </w:rPr>
        <w:t xml:space="preserve">стальных канатов (РЭН) в рамках </w:t>
      </w:r>
      <w:r w:rsidR="00FA2145" w:rsidRPr="00FA2145">
        <w:rPr>
          <w:rFonts w:ascii="Times New Roman" w:hAnsi="Times New Roman" w:cs="Times New Roman"/>
          <w:sz w:val="24"/>
          <w:szCs w:val="24"/>
        </w:rPr>
        <w:t>подготовки производства к  строительству заказа морского транс</w:t>
      </w:r>
      <w:r w:rsidR="00BD5CF8">
        <w:rPr>
          <w:rFonts w:ascii="Times New Roman" w:hAnsi="Times New Roman" w:cs="Times New Roman"/>
          <w:sz w:val="24"/>
          <w:szCs w:val="24"/>
        </w:rPr>
        <w:t>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A2145" w:rsidRPr="00FA2145">
        <w:rPr>
          <w:rFonts w:eastAsia="Courier New"/>
          <w:color w:val="000000"/>
          <w:spacing w:val="-4"/>
          <w:sz w:val="24"/>
          <w:szCs w:val="24"/>
        </w:rPr>
        <w:t>60 календарных дней с момента оплаты аванса.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A2145">
        <w:rPr>
          <w:sz w:val="24"/>
          <w:szCs w:val="24"/>
        </w:rPr>
        <w:t>5 630 394,44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A2145">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FA2145">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FA2145">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D554C4">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A2145">
        <w:rPr>
          <w:rFonts w:ascii="Times New Roman" w:hAnsi="Times New Roman" w:cs="Times New Roman"/>
          <w:sz w:val="24"/>
          <w:szCs w:val="24"/>
          <w:u w:val="single"/>
        </w:rPr>
        <w:t>22</w:t>
      </w:r>
      <w:r w:rsidR="00CD6F1C">
        <w:rPr>
          <w:rFonts w:ascii="Times New Roman" w:hAnsi="Times New Roman" w:cs="Times New Roman"/>
          <w:sz w:val="24"/>
          <w:szCs w:val="24"/>
          <w:u w:val="single"/>
        </w:rPr>
        <w:t>.</w:t>
      </w:r>
      <w:r w:rsidR="00FA2145">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A2145">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A2145">
              <w:rPr>
                <w:rFonts w:ascii="Times New Roman" w:hAnsi="Times New Roman" w:cs="Times New Roman"/>
                <w:sz w:val="24"/>
                <w:szCs w:val="24"/>
              </w:rPr>
              <w:t>14.02</w:t>
            </w:r>
            <w:r w:rsidR="00F654B1">
              <w:rPr>
                <w:rFonts w:ascii="Times New Roman" w:hAnsi="Times New Roman" w:cs="Times New Roman"/>
                <w:sz w:val="24"/>
                <w:szCs w:val="24"/>
              </w:rPr>
              <w:t>.2023</w:t>
            </w:r>
            <w:r w:rsidR="00FA2145">
              <w:rPr>
                <w:rFonts w:ascii="Times New Roman" w:hAnsi="Times New Roman" w:cs="Times New Roman"/>
                <w:sz w:val="24"/>
                <w:szCs w:val="24"/>
              </w:rPr>
              <w:t xml:space="preserve"> 15</w:t>
            </w:r>
            <w:r w:rsidR="00701E8A">
              <w:rPr>
                <w:rFonts w:ascii="Times New Roman" w:hAnsi="Times New Roman" w:cs="Times New Roman"/>
                <w:sz w:val="24"/>
                <w:szCs w:val="24"/>
              </w:rPr>
              <w:t>:</w:t>
            </w:r>
            <w:r w:rsidR="00D554C4">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FA2145">
              <w:rPr>
                <w:rFonts w:ascii="Times New Roman" w:hAnsi="Times New Roman" w:cs="Times New Roman"/>
                <w:sz w:val="24"/>
                <w:szCs w:val="24"/>
              </w:rPr>
              <w:t>22.02</w:t>
            </w:r>
            <w:r w:rsidR="00F654B1">
              <w:rPr>
                <w:rFonts w:ascii="Times New Roman" w:hAnsi="Times New Roman" w:cs="Times New Roman"/>
                <w:sz w:val="24"/>
                <w:szCs w:val="24"/>
              </w:rPr>
              <w:t>.2023</w:t>
            </w:r>
            <w:r w:rsidR="00FA2145">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554C4"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554C4"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A2145">
        <w:rPr>
          <w:rFonts w:ascii="Times New Roman" w:hAnsi="Times New Roman" w:cs="Times New Roman"/>
          <w:sz w:val="24"/>
          <w:szCs w:val="24"/>
        </w:rPr>
        <w:t>15</w:t>
      </w:r>
      <w:r w:rsidR="00D554C4">
        <w:rPr>
          <w:rFonts w:ascii="Times New Roman" w:hAnsi="Times New Roman" w:cs="Times New Roman"/>
          <w:sz w:val="24"/>
          <w:szCs w:val="24"/>
        </w:rPr>
        <w:t>:4</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FA2145">
        <w:rPr>
          <w:rFonts w:ascii="Times New Roman" w:hAnsi="Times New Roman" w:cs="Times New Roman"/>
          <w:sz w:val="24"/>
          <w:szCs w:val="24"/>
          <w:u w:val="single"/>
        </w:rPr>
        <w:t>14.02</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FA2145">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FA2145">
        <w:rPr>
          <w:rFonts w:ascii="Times New Roman" w:hAnsi="Times New Roman" w:cs="Times New Roman"/>
          <w:sz w:val="24"/>
          <w:szCs w:val="24"/>
          <w:u w:val="single"/>
        </w:rPr>
        <w:t>21.02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FA2145">
        <w:rPr>
          <w:rFonts w:ascii="Times New Roman" w:hAnsi="Times New Roman" w:cs="Times New Roman"/>
          <w:sz w:val="24"/>
          <w:szCs w:val="24"/>
          <w:u w:val="single"/>
          <w:lang w:eastAsia="en-US"/>
        </w:rPr>
        <w:t>24</w:t>
      </w:r>
      <w:r w:rsidR="00C64906" w:rsidRPr="00A73F94">
        <w:rPr>
          <w:rFonts w:ascii="Times New Roman" w:hAnsi="Times New Roman" w:cs="Times New Roman"/>
          <w:sz w:val="24"/>
          <w:szCs w:val="24"/>
          <w:u w:val="single"/>
          <w:lang w:eastAsia="en-US"/>
        </w:rPr>
        <w:t>.</w:t>
      </w:r>
      <w:r w:rsidR="00FA2145">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Default="00EA6E42" w:rsidP="00FA2145">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w:t>
      </w:r>
      <w:r w:rsidR="00FA2145">
        <w:rPr>
          <w:rFonts w:ascii="Times New Roman" w:hAnsi="Times New Roman" w:cs="Times New Roman"/>
          <w:sz w:val="24"/>
          <w:szCs w:val="24"/>
        </w:rPr>
        <w:t>, если отклонены все заявки.</w:t>
      </w:r>
    </w:p>
    <w:p w:rsidR="004974BF" w:rsidRDefault="004974BF" w:rsidP="00FA2145">
      <w:pPr>
        <w:widowControl w:val="0"/>
        <w:tabs>
          <w:tab w:val="left" w:pos="142"/>
        </w:tabs>
        <w:autoSpaceDE w:val="0"/>
        <w:spacing w:after="0" w:line="240" w:lineRule="auto"/>
        <w:ind w:firstLine="567"/>
        <w:jc w:val="both"/>
        <w:rPr>
          <w:rFonts w:ascii="Times New Roman" w:hAnsi="Times New Roman" w:cs="Times New Roman"/>
          <w:sz w:val="24"/>
          <w:szCs w:val="24"/>
        </w:rPr>
      </w:pPr>
    </w:p>
    <w:p w:rsidR="004974BF" w:rsidRPr="00FA2145" w:rsidRDefault="004974BF" w:rsidP="00FA2145">
      <w:pPr>
        <w:widowControl w:val="0"/>
        <w:tabs>
          <w:tab w:val="left" w:pos="142"/>
        </w:tabs>
        <w:autoSpaceDE w:val="0"/>
        <w:spacing w:after="0" w:line="240" w:lineRule="auto"/>
        <w:ind w:firstLine="567"/>
        <w:jc w:val="both"/>
        <w:rPr>
          <w:rFonts w:ascii="Times New Roman" w:hAnsi="Times New Roman" w:cs="Times New Roman"/>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FA2145" w:rsidRPr="00535CD8" w:rsidRDefault="00FA2145" w:rsidP="00FA2145">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стальных канатов (РЭН) в рамках</w:t>
      </w:r>
    </w:p>
    <w:p w:rsidR="00FA2145" w:rsidRDefault="00FA2145" w:rsidP="00FA2145">
      <w:pPr>
        <w:spacing w:after="0" w:line="240" w:lineRule="auto"/>
        <w:jc w:val="center"/>
        <w:rPr>
          <w:rFonts w:ascii="Times New Roman" w:hAnsi="Times New Roman"/>
          <w:b/>
          <w:sz w:val="20"/>
          <w:szCs w:val="20"/>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к  строительству заказа морского транспорта вооружения  проекта 23900.</w:t>
      </w:r>
    </w:p>
    <w:p w:rsidR="00FA2145" w:rsidRPr="00535CD8" w:rsidRDefault="00FA2145" w:rsidP="00FA2145">
      <w:pPr>
        <w:spacing w:after="0" w:line="240" w:lineRule="auto"/>
        <w:jc w:val="center"/>
        <w:rPr>
          <w:rFonts w:ascii="Times New Roman" w:hAnsi="Times New Roman"/>
          <w:b/>
          <w:sz w:val="20"/>
          <w:szCs w:val="20"/>
        </w:rPr>
      </w:pPr>
    </w:p>
    <w:p w:rsidR="00FA2145" w:rsidRPr="00535CD8" w:rsidRDefault="00FA2145" w:rsidP="00FA2145">
      <w:pPr>
        <w:pStyle w:val="af4"/>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FA2145" w:rsidRDefault="00FA2145" w:rsidP="00FA2145">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r w:rsidRPr="00535CD8">
        <w:rPr>
          <w:rFonts w:ascii="Times New Roman" w:hAnsi="Times New Roman"/>
          <w:sz w:val="20"/>
          <w:szCs w:val="20"/>
        </w:rPr>
        <w:t xml:space="preserve">Предметом настоящего технического задания является поставка </w:t>
      </w:r>
      <w:r w:rsidRPr="00BB2660">
        <w:rPr>
          <w:rFonts w:ascii="Times New Roman" w:hAnsi="Times New Roman"/>
          <w:sz w:val="20"/>
          <w:szCs w:val="20"/>
        </w:rPr>
        <w:t>стальных канатов в рамках</w:t>
      </w:r>
      <w:r>
        <w:rPr>
          <w:rFonts w:ascii="Times New Roman" w:hAnsi="Times New Roman"/>
          <w:sz w:val="20"/>
          <w:szCs w:val="20"/>
        </w:rPr>
        <w:t xml:space="preserve"> </w:t>
      </w:r>
      <w:r w:rsidRPr="00BB2660">
        <w:rPr>
          <w:rFonts w:ascii="Times New Roman" w:hAnsi="Times New Roman"/>
          <w:sz w:val="20"/>
          <w:szCs w:val="20"/>
        </w:rPr>
        <w:t>подготовки производства к  строительству заказа морского транспорта вооружения  проекта 23900</w:t>
      </w:r>
      <w:r>
        <w:rPr>
          <w:rFonts w:ascii="Times New Roman" w:hAnsi="Times New Roman"/>
          <w:sz w:val="20"/>
          <w:szCs w:val="20"/>
        </w:rPr>
        <w:t xml:space="preserve">, в </w:t>
      </w:r>
      <w:r w:rsidRPr="00535CD8">
        <w:rPr>
          <w:rFonts w:ascii="Times New Roman" w:hAnsi="Times New Roman"/>
          <w:sz w:val="20"/>
          <w:szCs w:val="20"/>
        </w:rPr>
        <w:t>целях обеспечения выполнения Государственного контракта №  ГК202</w:t>
      </w:r>
      <w:r>
        <w:rPr>
          <w:rFonts w:ascii="Times New Roman" w:hAnsi="Times New Roman"/>
          <w:sz w:val="20"/>
          <w:szCs w:val="20"/>
        </w:rPr>
        <w:t>…</w:t>
      </w:r>
      <w:r w:rsidRPr="00535CD8">
        <w:rPr>
          <w:rFonts w:ascii="Times New Roman" w:hAnsi="Times New Roman"/>
          <w:sz w:val="20"/>
          <w:szCs w:val="20"/>
        </w:rPr>
        <w:t xml:space="preserve">843/901-20-ОКР/5904 от 14.08.2020 г. </w:t>
      </w:r>
    </w:p>
    <w:p w:rsidR="00FA2145" w:rsidRPr="00535CD8" w:rsidRDefault="00FA2145" w:rsidP="00FA2145">
      <w:pPr>
        <w:spacing w:after="0" w:line="240" w:lineRule="auto"/>
        <w:jc w:val="both"/>
        <w:rPr>
          <w:rFonts w:ascii="Times New Roman" w:hAnsi="Times New Roman"/>
          <w:sz w:val="20"/>
          <w:szCs w:val="20"/>
        </w:rPr>
      </w:pPr>
      <w:r w:rsidRPr="00535CD8">
        <w:rPr>
          <w:rFonts w:ascii="Times New Roman" w:hAnsi="Times New Roman"/>
          <w:sz w:val="20"/>
          <w:szCs w:val="20"/>
        </w:rPr>
        <w:t>ИГК: 202</w:t>
      </w:r>
      <w:r>
        <w:rPr>
          <w:rFonts w:ascii="Times New Roman" w:hAnsi="Times New Roman"/>
          <w:sz w:val="20"/>
          <w:szCs w:val="20"/>
        </w:rPr>
        <w:t>…</w:t>
      </w:r>
      <w:r w:rsidRPr="00535CD8">
        <w:rPr>
          <w:rFonts w:ascii="Times New Roman" w:hAnsi="Times New Roman"/>
          <w:sz w:val="20"/>
          <w:szCs w:val="20"/>
        </w:rPr>
        <w:t>843.</w:t>
      </w:r>
    </w:p>
    <w:p w:rsidR="00FA2145" w:rsidRDefault="00FA2145" w:rsidP="00FA2145">
      <w:pPr>
        <w:pStyle w:val="af4"/>
        <w:numPr>
          <w:ilvl w:val="1"/>
          <w:numId w:val="17"/>
        </w:numPr>
        <w:suppressAutoHyphens w:val="0"/>
        <w:spacing w:line="240" w:lineRule="auto"/>
        <w:jc w:val="both"/>
        <w:rPr>
          <w:rFonts w:ascii="Times New Roman" w:hAnsi="Times New Roman"/>
          <w:sz w:val="20"/>
          <w:szCs w:val="20"/>
          <w:lang w:eastAsia="ar-SA"/>
        </w:rPr>
      </w:pPr>
      <w:r w:rsidRPr="00613773">
        <w:rPr>
          <w:rFonts w:ascii="Times New Roman" w:hAnsi="Times New Roman"/>
          <w:sz w:val="20"/>
          <w:szCs w:val="20"/>
          <w:lang w:eastAsia="ar-SA"/>
        </w:rPr>
        <w:t xml:space="preserve">Условия поставки товара: </w:t>
      </w:r>
      <w:r>
        <w:rPr>
          <w:rFonts w:ascii="Times New Roman" w:hAnsi="Times New Roman"/>
          <w:sz w:val="20"/>
          <w:szCs w:val="20"/>
          <w:lang w:eastAsia="ar-SA"/>
        </w:rPr>
        <w:t>Товар поставляется до склада Покупателя, расположенного по адресу: РФ, Республика Крым, г. Керчь, ул. Танкистов, д. 4</w:t>
      </w:r>
      <w:r w:rsidRPr="00613773">
        <w:rPr>
          <w:rFonts w:ascii="Times New Roman" w:hAnsi="Times New Roman"/>
          <w:sz w:val="20"/>
          <w:szCs w:val="20"/>
          <w:lang w:eastAsia="ar-SA"/>
        </w:rPr>
        <w:t>.</w:t>
      </w:r>
    </w:p>
    <w:p w:rsidR="00FA2145" w:rsidRPr="007A6D49" w:rsidRDefault="00FA2145" w:rsidP="00FA2145">
      <w:pPr>
        <w:pStyle w:val="af4"/>
        <w:numPr>
          <w:ilvl w:val="1"/>
          <w:numId w:val="17"/>
        </w:numPr>
        <w:suppressAutoHyphens w:val="0"/>
        <w:spacing w:line="240" w:lineRule="auto"/>
        <w:jc w:val="both"/>
        <w:rPr>
          <w:rFonts w:ascii="Times New Roman" w:hAnsi="Times New Roman"/>
          <w:sz w:val="20"/>
          <w:szCs w:val="20"/>
          <w:lang w:eastAsia="ar-SA"/>
        </w:rPr>
      </w:pPr>
      <w:r>
        <w:rPr>
          <w:rFonts w:ascii="Times New Roman" w:hAnsi="Times New Roman"/>
          <w:sz w:val="20"/>
          <w:szCs w:val="20"/>
          <w:lang w:eastAsia="ar-SA"/>
        </w:rPr>
        <w:t>Срок изготовления и поставки Товара: 60 календарных дней с момента оплаты аванса.</w:t>
      </w:r>
    </w:p>
    <w:p w:rsidR="00FA2145" w:rsidRPr="00613773" w:rsidRDefault="00FA2145" w:rsidP="00FA2145">
      <w:pPr>
        <w:pStyle w:val="af4"/>
        <w:spacing w:line="240" w:lineRule="auto"/>
        <w:ind w:left="0"/>
        <w:jc w:val="both"/>
        <w:rPr>
          <w:rFonts w:ascii="Times New Roman" w:hAnsi="Times New Roman"/>
          <w:sz w:val="20"/>
          <w:szCs w:val="20"/>
          <w:lang w:eastAsia="ar-SA"/>
        </w:rPr>
      </w:pPr>
      <w:r>
        <w:rPr>
          <w:rFonts w:ascii="Times New Roman" w:hAnsi="Times New Roman"/>
          <w:sz w:val="20"/>
          <w:szCs w:val="20"/>
          <w:lang w:eastAsia="ar-SA"/>
        </w:rPr>
        <w:t xml:space="preserve">1.4. </w:t>
      </w:r>
      <w:r w:rsidRPr="00613773">
        <w:rPr>
          <w:rFonts w:ascii="Times New Roman" w:hAnsi="Times New Roman"/>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w:t>
      </w:r>
      <w:r>
        <w:rPr>
          <w:rFonts w:ascii="Times New Roman" w:hAnsi="Times New Roman"/>
          <w:sz w:val="20"/>
          <w:szCs w:val="20"/>
          <w:lang w:eastAsia="ar-SA"/>
        </w:rPr>
        <w:t>м заверенные копии)</w:t>
      </w:r>
      <w:r w:rsidRPr="00613773">
        <w:rPr>
          <w:rFonts w:ascii="Times New Roman" w:hAnsi="Times New Roman"/>
          <w:sz w:val="20"/>
          <w:szCs w:val="20"/>
          <w:lang w:eastAsia="ar-SA"/>
        </w:rPr>
        <w:t>.</w:t>
      </w:r>
    </w:p>
    <w:p w:rsidR="00FA2145" w:rsidRPr="00495BB1" w:rsidRDefault="00FA2145" w:rsidP="00FA2145">
      <w:pPr>
        <w:pStyle w:val="af4"/>
        <w:spacing w:after="0" w:line="240" w:lineRule="auto"/>
        <w:ind w:left="0"/>
        <w:jc w:val="both"/>
        <w:rPr>
          <w:rFonts w:ascii="Times New Roman" w:hAnsi="Times New Roman"/>
          <w:sz w:val="20"/>
          <w:szCs w:val="20"/>
        </w:rPr>
      </w:pPr>
      <w:r>
        <w:rPr>
          <w:rFonts w:ascii="Times New Roman" w:hAnsi="Times New Roman"/>
          <w:sz w:val="20"/>
          <w:szCs w:val="20"/>
        </w:rPr>
        <w:t>1.5.</w:t>
      </w:r>
      <w:r w:rsidRPr="00495BB1">
        <w:rPr>
          <w:rFonts w:ascii="Times New Roman" w:hAnsi="Times New Roman"/>
          <w:sz w:val="20"/>
          <w:szCs w:val="20"/>
        </w:rPr>
        <w:t xml:space="preserve"> Товар должен быть поставлен в соответствии с Постановлением Правительства РФ № 616 от 30.04.2020 года.</w:t>
      </w:r>
    </w:p>
    <w:p w:rsidR="00FA2145" w:rsidRDefault="00FA2145" w:rsidP="00FA2145">
      <w:pPr>
        <w:pStyle w:val="af4"/>
        <w:spacing w:after="0" w:line="240" w:lineRule="auto"/>
        <w:ind w:left="0"/>
        <w:rPr>
          <w:rFonts w:ascii="Times New Roman" w:hAnsi="Times New Roman"/>
          <w:b/>
          <w:color w:val="FF0000"/>
          <w:sz w:val="20"/>
          <w:szCs w:val="20"/>
        </w:rPr>
      </w:pPr>
    </w:p>
    <w:tbl>
      <w:tblPr>
        <w:tblW w:w="10505" w:type="dxa"/>
        <w:tblInd w:w="93" w:type="dxa"/>
        <w:tblLook w:val="04A0" w:firstRow="1" w:lastRow="0" w:firstColumn="1" w:lastColumn="0" w:noHBand="0" w:noVBand="1"/>
      </w:tblPr>
      <w:tblGrid>
        <w:gridCol w:w="760"/>
        <w:gridCol w:w="5492"/>
        <w:gridCol w:w="993"/>
        <w:gridCol w:w="1559"/>
        <w:gridCol w:w="1701"/>
      </w:tblGrid>
      <w:tr w:rsidR="00FA2145" w:rsidRPr="00933777" w:rsidTr="001A6179">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 </w:t>
            </w:r>
            <w:proofErr w:type="gramStart"/>
            <w:r w:rsidRPr="00933777">
              <w:rPr>
                <w:rFonts w:ascii="Times New Roman" w:eastAsia="Times New Roman" w:hAnsi="Times New Roman" w:cs="Times New Roman"/>
                <w:b/>
                <w:bCs/>
                <w:lang w:eastAsia="ru-RU"/>
              </w:rPr>
              <w:t>п</w:t>
            </w:r>
            <w:proofErr w:type="gramEnd"/>
            <w:r w:rsidRPr="00933777">
              <w:rPr>
                <w:rFonts w:ascii="Times New Roman" w:eastAsia="Times New Roman" w:hAnsi="Times New Roman" w:cs="Times New Roman"/>
                <w:b/>
                <w:bCs/>
                <w:lang w:eastAsia="ru-RU"/>
              </w:rPr>
              <w:t>/п</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Кол-во, </w:t>
            </w:r>
            <w:proofErr w:type="gramStart"/>
            <w:r>
              <w:rPr>
                <w:rFonts w:ascii="Times New Roman" w:eastAsia="Times New Roman" w:hAnsi="Times New Roman" w:cs="Times New Roman"/>
                <w:b/>
                <w:bCs/>
                <w:lang w:eastAsia="ru-RU"/>
              </w:rPr>
              <w:t>м</w:t>
            </w:r>
            <w:proofErr w:type="gramEnd"/>
            <w:r>
              <w:rPr>
                <w:rFonts w:ascii="Times New Roman" w:eastAsia="Times New Roman" w:hAnsi="Times New Roman" w:cs="Times New Roman"/>
                <w:b/>
                <w:bCs/>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Цена с НДС за м.,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r w:rsidRPr="00933777">
              <w:rPr>
                <w:rFonts w:ascii="Times New Roman" w:eastAsia="Times New Roman" w:hAnsi="Times New Roman" w:cs="Times New Roman"/>
                <w:b/>
                <w:bCs/>
                <w:lang w:eastAsia="ru-RU"/>
              </w:rPr>
              <w:t xml:space="preserve">Сумма </w:t>
            </w:r>
            <w:r>
              <w:rPr>
                <w:rFonts w:ascii="Times New Roman" w:eastAsia="Times New Roman" w:hAnsi="Times New Roman" w:cs="Times New Roman"/>
                <w:b/>
                <w:bCs/>
                <w:lang w:eastAsia="ru-RU"/>
              </w:rPr>
              <w:t>с</w:t>
            </w:r>
            <w:r w:rsidRPr="00933777">
              <w:rPr>
                <w:rFonts w:ascii="Times New Roman" w:eastAsia="Times New Roman" w:hAnsi="Times New Roman" w:cs="Times New Roman"/>
                <w:b/>
                <w:bCs/>
                <w:lang w:eastAsia="ru-RU"/>
              </w:rPr>
              <w:t xml:space="preserve"> НДС</w:t>
            </w:r>
            <w:r>
              <w:rPr>
                <w:rFonts w:ascii="Times New Roman" w:eastAsia="Times New Roman" w:hAnsi="Times New Roman" w:cs="Times New Roman"/>
                <w:b/>
                <w:bCs/>
                <w:lang w:eastAsia="ru-RU"/>
              </w:rPr>
              <w:t>, руб.</w:t>
            </w:r>
            <w:r w:rsidRPr="00933777">
              <w:rPr>
                <w:rFonts w:ascii="Times New Roman" w:eastAsia="Times New Roman" w:hAnsi="Times New Roman" w:cs="Times New Roman"/>
                <w:b/>
                <w:bCs/>
                <w:lang w:eastAsia="ru-RU"/>
              </w:rPr>
              <w:t xml:space="preserve"> </w:t>
            </w:r>
          </w:p>
        </w:tc>
      </w:tr>
      <w:tr w:rsidR="00FA2145" w:rsidRPr="00933777" w:rsidTr="001A6179">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1</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ø18-Г-В-С-Н-180 ГОСТ 7668-80</w:t>
            </w:r>
          </w:p>
        </w:tc>
        <w:tc>
          <w:tcPr>
            <w:tcW w:w="993" w:type="dxa"/>
            <w:tcBorders>
              <w:top w:val="nil"/>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849,55</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101 946,00</w:t>
            </w:r>
          </w:p>
        </w:tc>
      </w:tr>
      <w:tr w:rsidR="00FA2145" w:rsidRPr="00933777" w:rsidTr="001A6179">
        <w:trPr>
          <w:trHeight w:val="284"/>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2</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ø36,5-Г-В-Л-Н-180 (</w:t>
            </w:r>
            <w:proofErr w:type="gramStart"/>
            <w:r w:rsidRPr="00283CF5">
              <w:rPr>
                <w:rFonts w:ascii="Times New Roman" w:eastAsia="Times New Roman" w:hAnsi="Times New Roman" w:cs="Times New Roman"/>
                <w:color w:val="000000"/>
                <w:sz w:val="24"/>
                <w:szCs w:val="24"/>
                <w:lang w:eastAsia="ru-RU"/>
              </w:rPr>
              <w:t>левая</w:t>
            </w:r>
            <w:proofErr w:type="gramEnd"/>
            <w:r w:rsidRPr="00283CF5">
              <w:rPr>
                <w:rFonts w:ascii="Times New Roman" w:eastAsia="Times New Roman" w:hAnsi="Times New Roman" w:cs="Times New Roman"/>
                <w:color w:val="000000"/>
                <w:sz w:val="24"/>
                <w:szCs w:val="24"/>
                <w:lang w:eastAsia="ru-RU"/>
              </w:rPr>
              <w:t xml:space="preserve"> </w:t>
            </w:r>
            <w:proofErr w:type="spellStart"/>
            <w:r w:rsidRPr="00283CF5">
              <w:rPr>
                <w:rFonts w:ascii="Times New Roman" w:eastAsia="Times New Roman" w:hAnsi="Times New Roman" w:cs="Times New Roman"/>
                <w:color w:val="000000"/>
                <w:sz w:val="24"/>
                <w:szCs w:val="24"/>
                <w:lang w:eastAsia="ru-RU"/>
              </w:rPr>
              <w:t>свивка</w:t>
            </w:r>
            <w:proofErr w:type="spellEnd"/>
            <w:r w:rsidRPr="00283CF5">
              <w:rPr>
                <w:rFonts w:ascii="Times New Roman" w:eastAsia="Times New Roman" w:hAnsi="Times New Roman" w:cs="Times New Roman"/>
                <w:color w:val="000000"/>
                <w:sz w:val="24"/>
                <w:szCs w:val="24"/>
                <w:lang w:eastAsia="ru-RU"/>
              </w:rPr>
              <w:t>) ГОСТ 7668-80</w:t>
            </w:r>
          </w:p>
        </w:tc>
        <w:tc>
          <w:tcPr>
            <w:tcW w:w="993" w:type="dxa"/>
            <w:tcBorders>
              <w:top w:val="nil"/>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2 058,43</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438 445,59</w:t>
            </w:r>
          </w:p>
        </w:tc>
      </w:tr>
      <w:tr w:rsidR="00FA2145" w:rsidRPr="00933777" w:rsidTr="001A6179">
        <w:trPr>
          <w:trHeight w:val="259"/>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3</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ø13,5-Г-В-С-Н-180 ГОСТ 7668-80</w:t>
            </w:r>
          </w:p>
        </w:tc>
        <w:tc>
          <w:tcPr>
            <w:tcW w:w="993" w:type="dxa"/>
            <w:tcBorders>
              <w:top w:val="nil"/>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568,15</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35 793,45</w:t>
            </w:r>
          </w:p>
        </w:tc>
      </w:tr>
      <w:tr w:rsidR="00FA2145" w:rsidRPr="00933777" w:rsidTr="001A6179">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4</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 xml:space="preserve">Ø24 конструкция каната 6х36 (1+7+7/7+14) DIN 3064/DIN EN 12385-4-2003 L=172 м отрезок – левой крестовой </w:t>
            </w:r>
            <w:proofErr w:type="spellStart"/>
            <w:r w:rsidRPr="00283CF5">
              <w:rPr>
                <w:rFonts w:ascii="Times New Roman" w:eastAsia="Times New Roman" w:hAnsi="Times New Roman" w:cs="Times New Roman"/>
                <w:color w:val="000000"/>
                <w:sz w:val="24"/>
                <w:szCs w:val="24"/>
                <w:lang w:eastAsia="ru-RU"/>
              </w:rPr>
              <w:t>свивки</w:t>
            </w:r>
            <w:proofErr w:type="spellEnd"/>
            <w:r w:rsidRPr="00283CF5">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172</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1 382,46</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237 783,12</w:t>
            </w:r>
          </w:p>
        </w:tc>
      </w:tr>
      <w:tr w:rsidR="00FA2145" w:rsidRPr="00933777" w:rsidTr="001A6179">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5</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 xml:space="preserve">Ø24 конструкция каната 6х36 (1+7+7/7+14) DIN 3064/DIN EN 12385-4-2003 L=172 м отрезок – правой крестовой </w:t>
            </w:r>
            <w:proofErr w:type="spellStart"/>
            <w:r w:rsidRPr="00283CF5">
              <w:rPr>
                <w:rFonts w:ascii="Times New Roman" w:eastAsia="Times New Roman" w:hAnsi="Times New Roman" w:cs="Times New Roman"/>
                <w:color w:val="000000"/>
                <w:sz w:val="24"/>
                <w:szCs w:val="24"/>
                <w:lang w:eastAsia="ru-RU"/>
              </w:rPr>
              <w:t>свивки</w:t>
            </w:r>
            <w:proofErr w:type="spellEnd"/>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172+7</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1 382,46</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247 460,34</w:t>
            </w:r>
          </w:p>
        </w:tc>
      </w:tr>
      <w:tr w:rsidR="00FA2145" w:rsidRPr="00933777" w:rsidTr="001A6179">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6</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 xml:space="preserve">Ø32 конструкция каната 6х36 (1+7+7/7+14) DIN 3064/DIN EN 12385-4-2003 L=384 м отрезок – левой крестовой </w:t>
            </w:r>
            <w:proofErr w:type="spellStart"/>
            <w:r w:rsidRPr="00283CF5">
              <w:rPr>
                <w:rFonts w:ascii="Times New Roman" w:eastAsia="Times New Roman" w:hAnsi="Times New Roman" w:cs="Times New Roman"/>
                <w:color w:val="000000"/>
                <w:sz w:val="24"/>
                <w:szCs w:val="24"/>
                <w:lang w:eastAsia="ru-RU"/>
              </w:rPr>
              <w:t>свивки</w:t>
            </w:r>
            <w:proofErr w:type="spellEnd"/>
            <w:r w:rsidRPr="00283CF5">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384</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2 257,55</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866 899,20</w:t>
            </w:r>
          </w:p>
        </w:tc>
      </w:tr>
      <w:tr w:rsidR="00FA2145" w:rsidRPr="00933777" w:rsidTr="001A6179">
        <w:trPr>
          <w:trHeight w:val="720"/>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7</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 xml:space="preserve">Ø32 конструкция каната 6х36 (1+7+7/7+14) DIN 3064/DIN EN 12385-4-2003 L=384 м отрезок – правой крестовой </w:t>
            </w:r>
            <w:proofErr w:type="spellStart"/>
            <w:r w:rsidRPr="00283CF5">
              <w:rPr>
                <w:rFonts w:ascii="Times New Roman" w:eastAsia="Times New Roman" w:hAnsi="Times New Roman" w:cs="Times New Roman"/>
                <w:color w:val="000000"/>
                <w:sz w:val="24"/>
                <w:szCs w:val="24"/>
                <w:lang w:eastAsia="ru-RU"/>
              </w:rPr>
              <w:t>свивки</w:t>
            </w:r>
            <w:proofErr w:type="spellEnd"/>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391</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2 257,55</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882 702,05</w:t>
            </w:r>
          </w:p>
        </w:tc>
      </w:tr>
      <w:tr w:rsidR="00FA2145" w:rsidRPr="00933777" w:rsidTr="001A6179">
        <w:trPr>
          <w:trHeight w:val="312"/>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9</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ø16 DIN 655-180 кг/см</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528</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512,89</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270 805,92</w:t>
            </w:r>
          </w:p>
        </w:tc>
      </w:tr>
      <w:tr w:rsidR="00FA2145" w:rsidRPr="00933777" w:rsidTr="001A6179">
        <w:trPr>
          <w:trHeight w:val="273"/>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10</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ø42-Г-В-Ж-Н-180 ГОСТ 7668-80</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336</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3 989,23</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1 340 381,28</w:t>
            </w:r>
          </w:p>
        </w:tc>
      </w:tr>
      <w:tr w:rsidR="00FA2145" w:rsidRPr="00933777" w:rsidTr="001A6179">
        <w:trPr>
          <w:trHeight w:val="278"/>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11</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ø22-Г-В-Ж-Н-180 ГОСТ 7668-80</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200</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1 163,88</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232 776,00</w:t>
            </w:r>
          </w:p>
        </w:tc>
      </w:tr>
      <w:tr w:rsidR="00FA2145" w:rsidRPr="00933777" w:rsidTr="001A6179">
        <w:trPr>
          <w:trHeight w:val="551"/>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12</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ø15,5-Г-В-С-Н-180 ГОСТ 2688-80, (ГОСТ 3071-88 (КМ-50/10))</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180</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565,86</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101 854,80</w:t>
            </w:r>
          </w:p>
        </w:tc>
      </w:tr>
      <w:tr w:rsidR="00FA2145" w:rsidRPr="00933777" w:rsidTr="001A6179">
        <w:trPr>
          <w:trHeight w:val="275"/>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13</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ø24-Г-В-С-Н-180 ГОСТ 7667-80</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160</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1 426,71</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228 273,60</w:t>
            </w:r>
          </w:p>
        </w:tc>
      </w:tr>
      <w:tr w:rsidR="00FA2145" w:rsidRPr="00933777" w:rsidTr="001A6179">
        <w:trPr>
          <w:trHeight w:val="266"/>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14</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ø16-Г-В-С-Н-180 ГОСТ 7667-80</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160</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802,89</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128 462,40</w:t>
            </w:r>
          </w:p>
        </w:tc>
      </w:tr>
      <w:tr w:rsidR="00FA2145" w:rsidRPr="00933777" w:rsidTr="001A6179">
        <w:trPr>
          <w:trHeight w:val="269"/>
        </w:trPr>
        <w:tc>
          <w:tcPr>
            <w:tcW w:w="760" w:type="dxa"/>
            <w:tcBorders>
              <w:top w:val="nil"/>
              <w:left w:val="single" w:sz="4" w:space="0" w:color="auto"/>
              <w:bottom w:val="single" w:sz="4" w:space="0" w:color="auto"/>
              <w:right w:val="single" w:sz="4" w:space="0" w:color="auto"/>
            </w:tcBorders>
            <w:shd w:val="clear" w:color="auto" w:fill="auto"/>
            <w:vAlign w:val="center"/>
          </w:tcPr>
          <w:p w:rsidR="00FA2145" w:rsidRPr="000245FB" w:rsidRDefault="00FA2145" w:rsidP="001A6179">
            <w:pPr>
              <w:pStyle w:val="af3"/>
              <w:jc w:val="center"/>
              <w:rPr>
                <w:rFonts w:ascii="Times New Roman" w:hAnsi="Times New Roman" w:cs="Times New Roman"/>
                <w:lang w:eastAsia="ru-RU"/>
              </w:rPr>
            </w:pPr>
            <w:r w:rsidRPr="000245FB">
              <w:rPr>
                <w:rFonts w:ascii="Times New Roman" w:hAnsi="Times New Roman" w:cs="Times New Roman"/>
                <w:lang w:eastAsia="ru-RU"/>
              </w:rPr>
              <w:t>15</w:t>
            </w:r>
          </w:p>
        </w:tc>
        <w:tc>
          <w:tcPr>
            <w:tcW w:w="5492" w:type="dxa"/>
            <w:tcBorders>
              <w:top w:val="nil"/>
              <w:left w:val="nil"/>
              <w:bottom w:val="single" w:sz="4" w:space="0" w:color="auto"/>
              <w:right w:val="single" w:sz="4" w:space="0" w:color="auto"/>
            </w:tcBorders>
            <w:shd w:val="clear" w:color="auto" w:fill="auto"/>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 xml:space="preserve">ø13,5-Г-В-С-Н-180 ГОСТ 2688-80 </w:t>
            </w:r>
          </w:p>
        </w:tc>
        <w:tc>
          <w:tcPr>
            <w:tcW w:w="993" w:type="dxa"/>
            <w:tcBorders>
              <w:top w:val="nil"/>
              <w:left w:val="nil"/>
              <w:bottom w:val="single" w:sz="4" w:space="0" w:color="auto"/>
              <w:right w:val="single" w:sz="4" w:space="0" w:color="auto"/>
            </w:tcBorders>
            <w:shd w:val="clear" w:color="auto" w:fill="auto"/>
            <w:noWrap/>
            <w:vAlign w:val="center"/>
          </w:tcPr>
          <w:p w:rsidR="00FA2145" w:rsidRPr="008151D1" w:rsidRDefault="00FA2145" w:rsidP="001A6179">
            <w:pPr>
              <w:pStyle w:val="af3"/>
              <w:jc w:val="center"/>
              <w:rPr>
                <w:rFonts w:ascii="Times New Roman" w:hAnsi="Times New Roman" w:cs="Times New Roman"/>
                <w:color w:val="000000"/>
                <w:lang w:eastAsia="ru-RU"/>
              </w:rPr>
            </w:pPr>
            <w:r>
              <w:rPr>
                <w:rFonts w:ascii="Times New Roman" w:hAnsi="Times New Roman" w:cs="Times New Roman"/>
                <w:color w:val="000000"/>
                <w:lang w:eastAsia="ru-RU"/>
              </w:rPr>
              <w:t>205</w:t>
            </w:r>
          </w:p>
        </w:tc>
        <w:tc>
          <w:tcPr>
            <w:tcW w:w="1559"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449,09</w:t>
            </w:r>
          </w:p>
        </w:tc>
        <w:tc>
          <w:tcPr>
            <w:tcW w:w="1701" w:type="dxa"/>
            <w:tcBorders>
              <w:top w:val="nil"/>
              <w:left w:val="nil"/>
              <w:bottom w:val="single" w:sz="4" w:space="0" w:color="auto"/>
              <w:right w:val="single" w:sz="4" w:space="0" w:color="auto"/>
            </w:tcBorders>
            <w:shd w:val="clear" w:color="auto" w:fill="auto"/>
            <w:vAlign w:val="center"/>
          </w:tcPr>
          <w:p w:rsidR="00FA2145" w:rsidRPr="008151D1" w:rsidRDefault="00FA2145" w:rsidP="001A6179">
            <w:pPr>
              <w:pStyle w:val="af3"/>
              <w:jc w:val="right"/>
              <w:rPr>
                <w:rFonts w:ascii="Times New Roman" w:hAnsi="Times New Roman" w:cs="Times New Roman"/>
                <w:lang w:eastAsia="ru-RU"/>
              </w:rPr>
            </w:pPr>
            <w:r>
              <w:rPr>
                <w:rFonts w:ascii="Times New Roman" w:hAnsi="Times New Roman" w:cs="Times New Roman"/>
                <w:lang w:eastAsia="ru-RU"/>
              </w:rPr>
              <w:t>92 063,45</w:t>
            </w:r>
          </w:p>
        </w:tc>
      </w:tr>
      <w:tr w:rsidR="00FA2145" w:rsidRPr="00933777" w:rsidTr="001A6179">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rsidR="00FA2145" w:rsidRPr="000245FB" w:rsidRDefault="00FA2145" w:rsidP="001A6179">
            <w:pPr>
              <w:suppressAutoHyphens w:val="0"/>
              <w:spacing w:after="0" w:line="240" w:lineRule="auto"/>
              <w:jc w:val="center"/>
              <w:rPr>
                <w:rFonts w:ascii="Times New Roman" w:eastAsia="Times New Roman" w:hAnsi="Times New Roman" w:cs="Times New Roman"/>
                <w:bCs/>
                <w:lang w:eastAsia="ru-RU"/>
              </w:rPr>
            </w:pPr>
            <w:r w:rsidRPr="000245FB">
              <w:rPr>
                <w:rFonts w:ascii="Times New Roman" w:eastAsia="Times New Roman" w:hAnsi="Times New Roman" w:cs="Times New Roman"/>
                <w:bCs/>
                <w:lang w:eastAsia="ru-RU"/>
              </w:rPr>
              <w:t>16</w:t>
            </w:r>
          </w:p>
        </w:tc>
        <w:tc>
          <w:tcPr>
            <w:tcW w:w="5492" w:type="dxa"/>
            <w:tcBorders>
              <w:top w:val="nil"/>
              <w:left w:val="nil"/>
              <w:bottom w:val="single" w:sz="4" w:space="0" w:color="auto"/>
              <w:right w:val="single" w:sz="4" w:space="0" w:color="auto"/>
            </w:tcBorders>
            <w:shd w:val="clear" w:color="auto" w:fill="auto"/>
            <w:noWrap/>
            <w:vAlign w:val="center"/>
            <w:hideMark/>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ø5-Г-В-С-</w:t>
            </w:r>
            <w:proofErr w:type="gramStart"/>
            <w:r w:rsidRPr="00283CF5">
              <w:rPr>
                <w:rFonts w:ascii="Times New Roman" w:eastAsia="Times New Roman" w:hAnsi="Times New Roman" w:cs="Times New Roman"/>
                <w:color w:val="000000"/>
                <w:sz w:val="24"/>
                <w:szCs w:val="24"/>
                <w:lang w:eastAsia="ru-RU"/>
              </w:rPr>
              <w:t>Н-</w:t>
            </w:r>
            <w:proofErr w:type="gramEnd"/>
            <w:r w:rsidRPr="00283CF5">
              <w:rPr>
                <w:rFonts w:ascii="Times New Roman" w:eastAsia="Times New Roman" w:hAnsi="Times New Roman" w:cs="Times New Roman"/>
                <w:color w:val="000000"/>
                <w:sz w:val="24"/>
                <w:szCs w:val="24"/>
                <w:lang w:eastAsia="ru-RU"/>
              </w:rPr>
              <w:t xml:space="preserve"> ГОСТ 2688-80 (либо аналог)</w:t>
            </w:r>
          </w:p>
        </w:tc>
        <w:tc>
          <w:tcPr>
            <w:tcW w:w="993" w:type="dxa"/>
            <w:tcBorders>
              <w:top w:val="nil"/>
              <w:left w:val="nil"/>
              <w:bottom w:val="single" w:sz="4" w:space="0" w:color="auto"/>
              <w:right w:val="single" w:sz="4" w:space="0" w:color="auto"/>
            </w:tcBorders>
            <w:shd w:val="clear" w:color="auto" w:fill="auto"/>
            <w:noWrap/>
            <w:vAlign w:val="center"/>
          </w:tcPr>
          <w:p w:rsidR="00FA2145" w:rsidRPr="000239A8" w:rsidRDefault="00FA2145" w:rsidP="001A6179">
            <w:pPr>
              <w:suppressAutoHyphens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120</w:t>
            </w:r>
          </w:p>
        </w:tc>
        <w:tc>
          <w:tcPr>
            <w:tcW w:w="1559" w:type="dxa"/>
            <w:tcBorders>
              <w:top w:val="nil"/>
              <w:left w:val="nil"/>
              <w:bottom w:val="single" w:sz="4" w:space="0" w:color="auto"/>
              <w:right w:val="single" w:sz="4" w:space="0" w:color="auto"/>
            </w:tcBorders>
            <w:shd w:val="clear" w:color="auto" w:fill="auto"/>
            <w:vAlign w:val="center"/>
          </w:tcPr>
          <w:p w:rsidR="00FA2145" w:rsidRPr="00574DA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133,68</w:t>
            </w:r>
          </w:p>
        </w:tc>
        <w:tc>
          <w:tcPr>
            <w:tcW w:w="1701" w:type="dxa"/>
            <w:tcBorders>
              <w:top w:val="nil"/>
              <w:left w:val="nil"/>
              <w:bottom w:val="single" w:sz="4" w:space="0" w:color="auto"/>
              <w:right w:val="single" w:sz="4" w:space="0" w:color="auto"/>
            </w:tcBorders>
            <w:shd w:val="clear" w:color="auto" w:fill="auto"/>
            <w:vAlign w:val="center"/>
          </w:tcPr>
          <w:p w:rsidR="00FA2145" w:rsidRPr="00574DA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16 041,60</w:t>
            </w:r>
          </w:p>
        </w:tc>
      </w:tr>
      <w:tr w:rsidR="00FA2145" w:rsidRPr="00933777" w:rsidTr="001A617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145" w:rsidRPr="000245FB" w:rsidRDefault="00FA2145" w:rsidP="001A6179">
            <w:pPr>
              <w:suppressAutoHyphens w:val="0"/>
              <w:spacing w:after="0" w:line="240" w:lineRule="auto"/>
              <w:jc w:val="center"/>
              <w:rPr>
                <w:rFonts w:ascii="Times New Roman" w:eastAsia="Times New Roman" w:hAnsi="Times New Roman" w:cs="Times New Roman"/>
                <w:bCs/>
                <w:lang w:eastAsia="ru-RU"/>
              </w:rPr>
            </w:pPr>
            <w:r w:rsidRPr="000245FB">
              <w:rPr>
                <w:rFonts w:ascii="Times New Roman" w:eastAsia="Times New Roman" w:hAnsi="Times New Roman" w:cs="Times New Roman"/>
                <w:bCs/>
                <w:lang w:eastAsia="ru-RU"/>
              </w:rPr>
              <w:t>17</w:t>
            </w: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ø8-Г-В-С-</w:t>
            </w:r>
            <w:proofErr w:type="gramStart"/>
            <w:r w:rsidRPr="00283CF5">
              <w:rPr>
                <w:rFonts w:ascii="Times New Roman" w:eastAsia="Times New Roman" w:hAnsi="Times New Roman" w:cs="Times New Roman"/>
                <w:color w:val="000000"/>
                <w:sz w:val="24"/>
                <w:szCs w:val="24"/>
                <w:lang w:eastAsia="ru-RU"/>
              </w:rPr>
              <w:t>Н-</w:t>
            </w:r>
            <w:proofErr w:type="gramEnd"/>
            <w:r w:rsidRPr="00283CF5">
              <w:rPr>
                <w:rFonts w:ascii="Times New Roman" w:eastAsia="Times New Roman" w:hAnsi="Times New Roman" w:cs="Times New Roman"/>
                <w:color w:val="000000"/>
                <w:sz w:val="24"/>
                <w:szCs w:val="24"/>
                <w:lang w:eastAsia="ru-RU"/>
              </w:rPr>
              <w:t xml:space="preserve"> ГОСТ 2688-80 (либо аналог)</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A2145" w:rsidRPr="000239A8" w:rsidRDefault="00FA2145" w:rsidP="001A6179">
            <w:pPr>
              <w:suppressAutoHyphens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120</w:t>
            </w:r>
          </w:p>
        </w:tc>
        <w:tc>
          <w:tcPr>
            <w:tcW w:w="1559" w:type="dxa"/>
            <w:tcBorders>
              <w:top w:val="single" w:sz="4" w:space="0" w:color="auto"/>
              <w:left w:val="nil"/>
              <w:bottom w:val="single" w:sz="4" w:space="0" w:color="auto"/>
              <w:right w:val="single" w:sz="4" w:space="0" w:color="auto"/>
            </w:tcBorders>
            <w:shd w:val="clear" w:color="auto" w:fill="auto"/>
            <w:vAlign w:val="center"/>
          </w:tcPr>
          <w:p w:rsidR="00FA2145" w:rsidRPr="00574DA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244,58</w:t>
            </w:r>
          </w:p>
        </w:tc>
        <w:tc>
          <w:tcPr>
            <w:tcW w:w="1701" w:type="dxa"/>
            <w:tcBorders>
              <w:top w:val="single" w:sz="4" w:space="0" w:color="auto"/>
              <w:left w:val="nil"/>
              <w:bottom w:val="single" w:sz="4" w:space="0" w:color="auto"/>
              <w:right w:val="single" w:sz="4" w:space="0" w:color="auto"/>
            </w:tcBorders>
            <w:shd w:val="clear" w:color="auto" w:fill="auto"/>
            <w:vAlign w:val="center"/>
          </w:tcPr>
          <w:p w:rsidR="00FA2145" w:rsidRPr="00574DA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29 349,60</w:t>
            </w:r>
          </w:p>
        </w:tc>
      </w:tr>
      <w:tr w:rsidR="00FA2145" w:rsidRPr="00933777" w:rsidTr="001A6179">
        <w:trPr>
          <w:trHeight w:val="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145" w:rsidRPr="000245FB" w:rsidRDefault="00FA2145" w:rsidP="001A6179">
            <w:pPr>
              <w:suppressAutoHyphens w:val="0"/>
              <w:spacing w:after="0" w:line="240" w:lineRule="auto"/>
              <w:jc w:val="center"/>
              <w:rPr>
                <w:rFonts w:ascii="Times New Roman" w:eastAsia="Times New Roman" w:hAnsi="Times New Roman" w:cs="Times New Roman"/>
                <w:bCs/>
                <w:lang w:eastAsia="ru-RU"/>
              </w:rPr>
            </w:pPr>
            <w:r w:rsidRPr="000245FB">
              <w:rPr>
                <w:rFonts w:ascii="Times New Roman" w:eastAsia="Times New Roman" w:hAnsi="Times New Roman" w:cs="Times New Roman"/>
                <w:bCs/>
                <w:lang w:eastAsia="ru-RU"/>
              </w:rPr>
              <w:t>18</w:t>
            </w: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ø3-Г-В-С-</w:t>
            </w:r>
            <w:proofErr w:type="gramStart"/>
            <w:r w:rsidRPr="00283CF5">
              <w:rPr>
                <w:rFonts w:ascii="Times New Roman" w:eastAsia="Times New Roman" w:hAnsi="Times New Roman" w:cs="Times New Roman"/>
                <w:color w:val="000000"/>
                <w:sz w:val="24"/>
                <w:szCs w:val="24"/>
                <w:lang w:eastAsia="ru-RU"/>
              </w:rPr>
              <w:t>Н-</w:t>
            </w:r>
            <w:proofErr w:type="gramEnd"/>
            <w:r w:rsidRPr="00283CF5">
              <w:rPr>
                <w:rFonts w:ascii="Times New Roman" w:eastAsia="Times New Roman" w:hAnsi="Times New Roman" w:cs="Times New Roman"/>
                <w:color w:val="000000"/>
                <w:sz w:val="24"/>
                <w:szCs w:val="24"/>
                <w:lang w:eastAsia="ru-RU"/>
              </w:rPr>
              <w:t xml:space="preserve"> ГОСТ 2688-80 (либо аналог)</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A2145" w:rsidRPr="000239A8" w:rsidRDefault="00FA2145" w:rsidP="001A6179">
            <w:pPr>
              <w:suppressAutoHyphens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120</w:t>
            </w:r>
          </w:p>
        </w:tc>
        <w:tc>
          <w:tcPr>
            <w:tcW w:w="1559" w:type="dxa"/>
            <w:tcBorders>
              <w:top w:val="single" w:sz="4" w:space="0" w:color="auto"/>
              <w:left w:val="nil"/>
              <w:bottom w:val="single" w:sz="4" w:space="0" w:color="auto"/>
              <w:right w:val="single" w:sz="4" w:space="0" w:color="auto"/>
            </w:tcBorders>
            <w:shd w:val="clear" w:color="auto" w:fill="auto"/>
            <w:vAlign w:val="center"/>
          </w:tcPr>
          <w:p w:rsidR="00FA2145" w:rsidRPr="00574DA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93,36</w:t>
            </w:r>
          </w:p>
        </w:tc>
        <w:tc>
          <w:tcPr>
            <w:tcW w:w="1701" w:type="dxa"/>
            <w:tcBorders>
              <w:top w:val="single" w:sz="4" w:space="0" w:color="auto"/>
              <w:left w:val="nil"/>
              <w:bottom w:val="single" w:sz="4" w:space="0" w:color="auto"/>
              <w:right w:val="single" w:sz="4" w:space="0" w:color="auto"/>
            </w:tcBorders>
            <w:shd w:val="clear" w:color="auto" w:fill="auto"/>
            <w:vAlign w:val="center"/>
          </w:tcPr>
          <w:p w:rsidR="00FA2145" w:rsidRPr="00574DA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11 203,20</w:t>
            </w:r>
          </w:p>
        </w:tc>
      </w:tr>
      <w:tr w:rsidR="00FA2145" w:rsidRPr="00933777" w:rsidTr="001A617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145" w:rsidRPr="000245FB" w:rsidRDefault="00FA2145" w:rsidP="001A6179">
            <w:pPr>
              <w:suppressAutoHyphens w:val="0"/>
              <w:spacing w:after="0" w:line="240" w:lineRule="auto"/>
              <w:jc w:val="center"/>
              <w:rPr>
                <w:rFonts w:ascii="Times New Roman" w:eastAsia="Times New Roman" w:hAnsi="Times New Roman" w:cs="Times New Roman"/>
                <w:bCs/>
                <w:lang w:eastAsia="ru-RU"/>
              </w:rPr>
            </w:pPr>
            <w:r w:rsidRPr="000245FB">
              <w:rPr>
                <w:rFonts w:ascii="Times New Roman" w:eastAsia="Times New Roman" w:hAnsi="Times New Roman" w:cs="Times New Roman"/>
                <w:bCs/>
                <w:lang w:eastAsia="ru-RU"/>
              </w:rPr>
              <w:t>19</w:t>
            </w: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ø33-Г-В-Н-180 (</w:t>
            </w:r>
            <w:proofErr w:type="gramStart"/>
            <w:r>
              <w:rPr>
                <w:rFonts w:ascii="Times New Roman" w:eastAsia="Times New Roman" w:hAnsi="Times New Roman" w:cs="Times New Roman"/>
                <w:color w:val="000000"/>
                <w:sz w:val="24"/>
                <w:szCs w:val="24"/>
                <w:lang w:eastAsia="ru-RU"/>
              </w:rPr>
              <w:t>правая</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свивка</w:t>
            </w:r>
            <w:proofErr w:type="spellEnd"/>
            <w:r w:rsidRPr="00283CF5">
              <w:rPr>
                <w:rFonts w:ascii="Times New Roman" w:eastAsia="Times New Roman" w:hAnsi="Times New Roman" w:cs="Times New Roman"/>
                <w:color w:val="000000"/>
                <w:sz w:val="24"/>
                <w:szCs w:val="24"/>
                <w:lang w:eastAsia="ru-RU"/>
              </w:rPr>
              <w:t>) ГОСТ 7668-80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A2145" w:rsidRPr="000239A8" w:rsidRDefault="00FA2145" w:rsidP="001A6179">
            <w:pPr>
              <w:suppressAutoHyphens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106</w:t>
            </w:r>
          </w:p>
        </w:tc>
        <w:tc>
          <w:tcPr>
            <w:tcW w:w="1559" w:type="dxa"/>
            <w:tcBorders>
              <w:top w:val="single" w:sz="4" w:space="0" w:color="auto"/>
              <w:left w:val="nil"/>
              <w:bottom w:val="single" w:sz="4" w:space="0" w:color="auto"/>
              <w:right w:val="single" w:sz="4" w:space="0" w:color="auto"/>
            </w:tcBorders>
            <w:shd w:val="clear" w:color="auto" w:fill="auto"/>
            <w:vAlign w:val="center"/>
          </w:tcPr>
          <w:p w:rsidR="00FA2145" w:rsidRPr="00574DA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1 736,57</w:t>
            </w:r>
          </w:p>
        </w:tc>
        <w:tc>
          <w:tcPr>
            <w:tcW w:w="1701" w:type="dxa"/>
            <w:tcBorders>
              <w:top w:val="single" w:sz="4" w:space="0" w:color="auto"/>
              <w:left w:val="nil"/>
              <w:bottom w:val="single" w:sz="4" w:space="0" w:color="auto"/>
              <w:right w:val="single" w:sz="4" w:space="0" w:color="auto"/>
            </w:tcBorders>
            <w:shd w:val="clear" w:color="auto" w:fill="auto"/>
            <w:vAlign w:val="center"/>
          </w:tcPr>
          <w:p w:rsidR="00FA2145" w:rsidRPr="00574DA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184 076,42</w:t>
            </w:r>
          </w:p>
        </w:tc>
      </w:tr>
      <w:tr w:rsidR="00FA2145" w:rsidRPr="00933777" w:rsidTr="001A617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145" w:rsidRPr="000245FB" w:rsidRDefault="00FA2145" w:rsidP="001A6179">
            <w:pPr>
              <w:suppressAutoHyphens w:val="0"/>
              <w:spacing w:after="0" w:line="240" w:lineRule="auto"/>
              <w:jc w:val="center"/>
              <w:rPr>
                <w:rFonts w:ascii="Times New Roman" w:eastAsia="Times New Roman" w:hAnsi="Times New Roman" w:cs="Times New Roman"/>
                <w:bCs/>
                <w:lang w:eastAsia="ru-RU"/>
              </w:rPr>
            </w:pPr>
            <w:r w:rsidRPr="000245FB">
              <w:rPr>
                <w:rFonts w:ascii="Times New Roman" w:eastAsia="Times New Roman" w:hAnsi="Times New Roman" w:cs="Times New Roman"/>
                <w:bCs/>
                <w:lang w:eastAsia="ru-RU"/>
              </w:rPr>
              <w:t>20</w:t>
            </w: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Канат </w:t>
            </w:r>
            <w:r w:rsidRPr="00283CF5">
              <w:rPr>
                <w:rFonts w:ascii="Times New Roman" w:eastAsia="Times New Roman" w:hAnsi="Times New Roman" w:cs="Times New Roman"/>
                <w:color w:val="000000"/>
                <w:sz w:val="24"/>
                <w:szCs w:val="24"/>
                <w:lang w:eastAsia="ru-RU"/>
              </w:rPr>
              <w:t>ø33-Г-В-Н-180 (</w:t>
            </w:r>
            <w:proofErr w:type="gramStart"/>
            <w:r w:rsidRPr="00283CF5">
              <w:rPr>
                <w:rFonts w:ascii="Times New Roman" w:eastAsia="Times New Roman" w:hAnsi="Times New Roman" w:cs="Times New Roman"/>
                <w:color w:val="000000"/>
                <w:sz w:val="24"/>
                <w:szCs w:val="24"/>
                <w:lang w:eastAsia="ru-RU"/>
              </w:rPr>
              <w:t>левая</w:t>
            </w:r>
            <w:proofErr w:type="gramEnd"/>
            <w:r w:rsidRPr="00283CF5">
              <w:rPr>
                <w:rFonts w:ascii="Times New Roman" w:eastAsia="Times New Roman" w:hAnsi="Times New Roman" w:cs="Times New Roman"/>
                <w:color w:val="000000"/>
                <w:sz w:val="24"/>
                <w:szCs w:val="24"/>
                <w:lang w:eastAsia="ru-RU"/>
              </w:rPr>
              <w:t xml:space="preserve"> </w:t>
            </w:r>
            <w:proofErr w:type="spellStart"/>
            <w:r w:rsidRPr="00283CF5">
              <w:rPr>
                <w:rFonts w:ascii="Times New Roman" w:eastAsia="Times New Roman" w:hAnsi="Times New Roman" w:cs="Times New Roman"/>
                <w:color w:val="000000"/>
                <w:sz w:val="24"/>
                <w:szCs w:val="24"/>
                <w:lang w:eastAsia="ru-RU"/>
              </w:rPr>
              <w:t>свивк</w:t>
            </w:r>
            <w:r>
              <w:rPr>
                <w:rFonts w:ascii="Times New Roman" w:eastAsia="Times New Roman" w:hAnsi="Times New Roman" w:cs="Times New Roman"/>
                <w:color w:val="000000"/>
                <w:sz w:val="24"/>
                <w:szCs w:val="24"/>
                <w:lang w:eastAsia="ru-RU"/>
              </w:rPr>
              <w:t>а</w:t>
            </w:r>
            <w:proofErr w:type="spellEnd"/>
            <w:r w:rsidRPr="00283CF5">
              <w:rPr>
                <w:rFonts w:ascii="Times New Roman" w:eastAsia="Times New Roman" w:hAnsi="Times New Roman" w:cs="Times New Roman"/>
                <w:color w:val="000000"/>
                <w:sz w:val="24"/>
                <w:szCs w:val="24"/>
                <w:lang w:eastAsia="ru-RU"/>
              </w:rPr>
              <w:t>) ГОСТ 7668-80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A2145" w:rsidRPr="003F55E5" w:rsidRDefault="00FA2145" w:rsidP="001A6179">
            <w:pPr>
              <w:suppressAutoHyphens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106</w:t>
            </w:r>
          </w:p>
        </w:tc>
        <w:tc>
          <w:tcPr>
            <w:tcW w:w="1559" w:type="dxa"/>
            <w:tcBorders>
              <w:top w:val="single" w:sz="4" w:space="0" w:color="auto"/>
              <w:left w:val="nil"/>
              <w:bottom w:val="single" w:sz="4" w:space="0" w:color="auto"/>
              <w:right w:val="single" w:sz="4" w:space="0" w:color="auto"/>
            </w:tcBorders>
            <w:shd w:val="clear" w:color="auto" w:fill="auto"/>
            <w:vAlign w:val="center"/>
          </w:tcPr>
          <w:p w:rsidR="00FA2145" w:rsidRPr="003F55E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1 736,57</w:t>
            </w:r>
          </w:p>
        </w:tc>
        <w:tc>
          <w:tcPr>
            <w:tcW w:w="1701" w:type="dxa"/>
            <w:tcBorders>
              <w:top w:val="single" w:sz="4" w:space="0" w:color="auto"/>
              <w:left w:val="nil"/>
              <w:bottom w:val="single" w:sz="4" w:space="0" w:color="auto"/>
              <w:right w:val="single" w:sz="4" w:space="0" w:color="auto"/>
            </w:tcBorders>
            <w:shd w:val="clear" w:color="auto" w:fill="auto"/>
            <w:vAlign w:val="center"/>
          </w:tcPr>
          <w:p w:rsidR="00FA2145" w:rsidRPr="003F55E5" w:rsidRDefault="00FA2145" w:rsidP="001A6179">
            <w:pPr>
              <w:suppressAutoHyphens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184 076,42</w:t>
            </w:r>
          </w:p>
        </w:tc>
      </w:tr>
      <w:tr w:rsidR="00FA2145" w:rsidRPr="00933777" w:rsidTr="001A617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A2145" w:rsidRPr="00933777" w:rsidRDefault="00FA2145" w:rsidP="001A6179">
            <w:pPr>
              <w:suppressAutoHyphens w:val="0"/>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A2145" w:rsidRPr="00933777" w:rsidRDefault="00FA2145" w:rsidP="001A6179">
            <w:pPr>
              <w:suppressAutoHyphens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FA2145" w:rsidRDefault="00FA2145" w:rsidP="001A6179">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5 630 394,44</w:t>
            </w:r>
          </w:p>
        </w:tc>
      </w:tr>
      <w:tr w:rsidR="00FA2145" w:rsidRPr="00933777" w:rsidTr="001A617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A2145" w:rsidRPr="00933777" w:rsidRDefault="00FA2145" w:rsidP="001A6179">
            <w:pPr>
              <w:suppressAutoHyphens w:val="0"/>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w:t>
            </w:r>
            <w:proofErr w:type="spellStart"/>
            <w:r>
              <w:rPr>
                <w:rFonts w:ascii="Times New Roman" w:eastAsia="Times New Roman" w:hAnsi="Times New Roman" w:cs="Times New Roman"/>
                <w:b/>
                <w:bCs/>
                <w:lang w:eastAsia="ru-RU"/>
              </w:rPr>
              <w:t>т.ч</w:t>
            </w:r>
            <w:proofErr w:type="spellEnd"/>
            <w:r>
              <w:rPr>
                <w:rFonts w:ascii="Times New Roman" w:eastAsia="Times New Roman" w:hAnsi="Times New Roman" w:cs="Times New Roman"/>
                <w:b/>
                <w:bCs/>
                <w:lang w:eastAsia="ru-RU"/>
              </w:rPr>
              <w:t xml:space="preserve">. НДС </w:t>
            </w:r>
          </w:p>
        </w:tc>
        <w:tc>
          <w:tcPr>
            <w:tcW w:w="1701" w:type="dxa"/>
            <w:tcBorders>
              <w:top w:val="single" w:sz="4" w:space="0" w:color="auto"/>
              <w:left w:val="nil"/>
              <w:bottom w:val="single" w:sz="4" w:space="0" w:color="auto"/>
              <w:right w:val="single" w:sz="4" w:space="0" w:color="auto"/>
            </w:tcBorders>
            <w:shd w:val="clear" w:color="auto" w:fill="auto"/>
            <w:vAlign w:val="center"/>
          </w:tcPr>
          <w:p w:rsidR="00FA2145" w:rsidRDefault="00FA2145" w:rsidP="001A6179">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938 399,07</w:t>
            </w:r>
          </w:p>
        </w:tc>
      </w:tr>
      <w:tr w:rsidR="00FA2145" w:rsidRPr="00933777" w:rsidTr="001A617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145" w:rsidRPr="00933777" w:rsidRDefault="00FA2145" w:rsidP="001A6179">
            <w:pPr>
              <w:suppressAutoHyphens w:val="0"/>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FA2145" w:rsidRPr="00283CF5" w:rsidRDefault="00FA2145" w:rsidP="001A6179">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A2145" w:rsidRPr="00933777" w:rsidRDefault="00FA2145" w:rsidP="001A6179">
            <w:pPr>
              <w:suppressAutoHyphens w:val="0"/>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A2145" w:rsidRPr="00933777" w:rsidRDefault="00FA2145" w:rsidP="001A6179">
            <w:pPr>
              <w:suppressAutoHyphens w:val="0"/>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FA2145" w:rsidRDefault="00FA2145" w:rsidP="001A6179">
            <w:pPr>
              <w:suppressAutoHyphens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5 630 394,44</w:t>
            </w:r>
          </w:p>
        </w:tc>
      </w:tr>
    </w:tbl>
    <w:p w:rsidR="00FA2145" w:rsidRPr="003F54C0" w:rsidRDefault="00FA2145" w:rsidP="00FA2145">
      <w:pPr>
        <w:spacing w:after="0" w:line="240" w:lineRule="auto"/>
        <w:rPr>
          <w:rFonts w:ascii="Times New Roman" w:hAnsi="Times New Roman"/>
          <w:color w:val="FF0000"/>
          <w:sz w:val="20"/>
          <w:szCs w:val="20"/>
        </w:rPr>
      </w:pPr>
    </w:p>
    <w:p w:rsidR="00FA2145" w:rsidRPr="00416338" w:rsidRDefault="00FA2145" w:rsidP="00FA2145">
      <w:pPr>
        <w:spacing w:after="0" w:line="240" w:lineRule="auto"/>
        <w:rPr>
          <w:rFonts w:ascii="Times New Roman" w:hAnsi="Times New Roman"/>
          <w:sz w:val="20"/>
          <w:szCs w:val="20"/>
        </w:rPr>
      </w:pPr>
      <w:r w:rsidRPr="00416338">
        <w:rPr>
          <w:rFonts w:ascii="Times New Roman" w:hAnsi="Times New Roman"/>
          <w:sz w:val="20"/>
          <w:szCs w:val="20"/>
        </w:rPr>
        <w:lastRenderedPageBreak/>
        <w:t>1.</w:t>
      </w:r>
      <w:r>
        <w:rPr>
          <w:rFonts w:ascii="Times New Roman" w:hAnsi="Times New Roman"/>
          <w:sz w:val="20"/>
          <w:szCs w:val="20"/>
        </w:rPr>
        <w:t>6</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w:t>
      </w:r>
      <w:r>
        <w:rPr>
          <w:rFonts w:ascii="Times New Roman" w:hAnsi="Times New Roman"/>
          <w:sz w:val="20"/>
          <w:szCs w:val="20"/>
        </w:rPr>
        <w:t xml:space="preserve">доставка, </w:t>
      </w:r>
      <w:r w:rsidRPr="00416338">
        <w:rPr>
          <w:rFonts w:ascii="Times New Roman" w:hAnsi="Times New Roman"/>
          <w:sz w:val="20"/>
          <w:szCs w:val="20"/>
        </w:rPr>
        <w:t>расходы по уплате налогов и сборов, а так же другие обязательные  платежи.</w:t>
      </w:r>
    </w:p>
    <w:p w:rsidR="00FA2145" w:rsidRPr="003F54C0" w:rsidRDefault="00FA2145" w:rsidP="00FA2145">
      <w:pPr>
        <w:spacing w:after="0" w:line="240" w:lineRule="auto"/>
        <w:rPr>
          <w:rFonts w:ascii="Times New Roman" w:hAnsi="Times New Roman"/>
          <w:color w:val="FF0000"/>
          <w:sz w:val="20"/>
          <w:szCs w:val="20"/>
        </w:rPr>
      </w:pPr>
    </w:p>
    <w:p w:rsidR="00FA2145" w:rsidRPr="00416338" w:rsidRDefault="00FA2145" w:rsidP="00FA2145">
      <w:pPr>
        <w:pStyle w:val="af4"/>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FA2145" w:rsidRPr="00416338" w:rsidRDefault="00FA2145" w:rsidP="00FA2145">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FA2145" w:rsidRPr="00416338" w:rsidRDefault="00FA2145" w:rsidP="00FA2145">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FA2145" w:rsidRPr="00416338" w:rsidRDefault="00FA2145" w:rsidP="00FA2145">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FA2145" w:rsidRPr="00416338" w:rsidRDefault="00FA2145" w:rsidP="00FA2145">
      <w:pPr>
        <w:pStyle w:val="af4"/>
        <w:ind w:left="0"/>
        <w:rPr>
          <w:rFonts w:ascii="Times New Roman" w:hAnsi="Times New Roman"/>
          <w:sz w:val="20"/>
          <w:szCs w:val="20"/>
          <w:lang w:eastAsia="ru-RU"/>
        </w:rPr>
      </w:pPr>
    </w:p>
    <w:p w:rsidR="00FA2145" w:rsidRPr="00416338" w:rsidRDefault="00FA2145" w:rsidP="00FA2145">
      <w:pPr>
        <w:pStyle w:val="af4"/>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3.1. Товар должен соответствовать всем критериям, описанным в </w:t>
      </w:r>
      <w:proofErr w:type="spellStart"/>
      <w:r w:rsidRPr="00171733">
        <w:rPr>
          <w:rFonts w:ascii="Times New Roman" w:eastAsia="Times New Roman" w:hAnsi="Times New Roman"/>
          <w:sz w:val="20"/>
          <w:szCs w:val="20"/>
          <w:lang w:eastAsia="ru-RU"/>
        </w:rPr>
        <w:t>п.п</w:t>
      </w:r>
      <w:proofErr w:type="spellEnd"/>
      <w:r w:rsidRPr="00171733">
        <w:rPr>
          <w:rFonts w:ascii="Times New Roman" w:eastAsia="Times New Roman" w:hAnsi="Times New Roman"/>
          <w:sz w:val="20"/>
          <w:szCs w:val="20"/>
          <w:lang w:eastAsia="ru-RU"/>
        </w:rPr>
        <w:t>. 1.3. – 1.6., 2 настоящего Технического задания.</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3.3. В </w:t>
      </w:r>
      <w:proofErr w:type="gramStart"/>
      <w:r w:rsidRPr="00171733">
        <w:rPr>
          <w:rFonts w:ascii="Times New Roman" w:eastAsia="Times New Roman" w:hAnsi="Times New Roman"/>
          <w:sz w:val="20"/>
          <w:szCs w:val="20"/>
          <w:lang w:eastAsia="ru-RU"/>
        </w:rPr>
        <w:t>случае</w:t>
      </w:r>
      <w:proofErr w:type="gramEnd"/>
      <w:r w:rsidRPr="00171733">
        <w:rPr>
          <w:rFonts w:ascii="Times New Roman" w:eastAsia="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71733">
        <w:rPr>
          <w:rFonts w:ascii="Times New Roman" w:eastAsia="Times New Roman" w:hAnsi="Times New Roman"/>
          <w:sz w:val="20"/>
          <w:szCs w:val="20"/>
          <w:lang w:eastAsia="ru-RU"/>
        </w:rPr>
        <w:t>стоимости</w:t>
      </w:r>
      <w:proofErr w:type="gramEnd"/>
      <w:r w:rsidRPr="00171733">
        <w:rPr>
          <w:rFonts w:ascii="Times New Roman" w:eastAsia="Times New Roman" w:hAnsi="Times New Roman"/>
          <w:sz w:val="20"/>
          <w:szCs w:val="20"/>
          <w:lang w:eastAsia="ru-RU"/>
        </w:rPr>
        <w:t xml:space="preserve"> не поставленной продукции.</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3.5. </w:t>
      </w:r>
      <w:proofErr w:type="gramStart"/>
      <w:r w:rsidRPr="00171733">
        <w:rPr>
          <w:rFonts w:ascii="Times New Roman" w:eastAsia="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3.6. Возможен </w:t>
      </w:r>
      <w:proofErr w:type="spellStart"/>
      <w:r w:rsidRPr="00171733">
        <w:rPr>
          <w:rFonts w:ascii="Times New Roman" w:eastAsia="Times New Roman" w:hAnsi="Times New Roman"/>
          <w:sz w:val="20"/>
          <w:szCs w:val="20"/>
          <w:lang w:eastAsia="ru-RU"/>
        </w:rPr>
        <w:t>толеранс</w:t>
      </w:r>
      <w:proofErr w:type="spellEnd"/>
      <w:r w:rsidRPr="00171733">
        <w:rPr>
          <w:rFonts w:ascii="Times New Roman" w:eastAsia="Times New Roman" w:hAnsi="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71733">
        <w:rPr>
          <w:rFonts w:ascii="Times New Roman" w:eastAsia="Times New Roman" w:hAnsi="Times New Roman"/>
          <w:sz w:val="20"/>
          <w:szCs w:val="20"/>
          <w:lang w:eastAsia="ru-RU"/>
        </w:rPr>
        <w:t>счет-фактуре</w:t>
      </w:r>
      <w:proofErr w:type="gramEnd"/>
      <w:r w:rsidRPr="00171733">
        <w:rPr>
          <w:rFonts w:ascii="Times New Roman" w:eastAsia="Times New Roman" w:hAnsi="Times New Roman"/>
          <w:sz w:val="20"/>
          <w:szCs w:val="20"/>
          <w:lang w:eastAsia="ru-RU"/>
        </w:rPr>
        <w:t>.</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3.7. Поставленный Товар должен соответствовать требованиям ГОСТ 10692 п.5.1,</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п.5.2. «Маркировка».</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3.8. Дополнительные требования и условия:</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FA2145" w:rsidRPr="00416338" w:rsidRDefault="00FA2145" w:rsidP="00FA2145">
      <w:pPr>
        <w:pStyle w:val="af4"/>
        <w:ind w:left="0"/>
        <w:jc w:val="both"/>
        <w:rPr>
          <w:rFonts w:ascii="Times New Roman" w:hAnsi="Times New Roman"/>
          <w:sz w:val="20"/>
          <w:szCs w:val="20"/>
          <w:lang w:eastAsia="ru-RU"/>
        </w:rPr>
      </w:pPr>
    </w:p>
    <w:p w:rsidR="00FA2145" w:rsidRPr="00416338" w:rsidRDefault="00FA2145" w:rsidP="00FA2145">
      <w:pPr>
        <w:pStyle w:val="af4"/>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4.1. Товар должен быть произведён не ранее 2022 года. </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4.2. Гарантийный с</w:t>
      </w:r>
      <w:r>
        <w:rPr>
          <w:rFonts w:ascii="Times New Roman" w:eastAsia="Times New Roman" w:hAnsi="Times New Roman"/>
          <w:sz w:val="20"/>
          <w:szCs w:val="20"/>
          <w:lang w:eastAsia="ru-RU"/>
        </w:rPr>
        <w:t xml:space="preserve">рок для поставляемого товара - </w:t>
      </w:r>
      <w:r w:rsidRPr="00171733">
        <w:rPr>
          <w:rFonts w:ascii="Times New Roman" w:eastAsia="Times New Roman" w:hAnsi="Times New Roman"/>
          <w:sz w:val="20"/>
          <w:szCs w:val="20"/>
          <w:lang w:eastAsia="ru-RU"/>
        </w:rPr>
        <w:t xml:space="preserve">не менее </w:t>
      </w:r>
      <w:r>
        <w:rPr>
          <w:rFonts w:ascii="Times New Roman" w:eastAsia="Times New Roman" w:hAnsi="Times New Roman"/>
          <w:sz w:val="20"/>
          <w:szCs w:val="20"/>
          <w:lang w:eastAsia="ru-RU"/>
        </w:rPr>
        <w:t>1 (одного) года</w:t>
      </w:r>
      <w:r w:rsidRPr="00171733">
        <w:rPr>
          <w:rFonts w:ascii="Times New Roman" w:eastAsia="Times New Roman" w:hAnsi="Times New Roman"/>
          <w:sz w:val="20"/>
          <w:szCs w:val="20"/>
          <w:lang w:eastAsia="ru-RU"/>
        </w:rPr>
        <w:t xml:space="preserve"> с момента его прои</w:t>
      </w:r>
      <w:r>
        <w:rPr>
          <w:rFonts w:ascii="Times New Roman" w:eastAsia="Times New Roman" w:hAnsi="Times New Roman"/>
          <w:sz w:val="20"/>
          <w:szCs w:val="20"/>
          <w:lang w:eastAsia="ru-RU"/>
        </w:rPr>
        <w:t>зводства и поставки Покупателю.</w:t>
      </w:r>
    </w:p>
    <w:p w:rsidR="00FA2145" w:rsidRPr="00416338" w:rsidRDefault="00FA2145" w:rsidP="00FA2145">
      <w:pPr>
        <w:suppressAutoHyphens w:val="0"/>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FA2145" w:rsidRPr="003F54C0" w:rsidRDefault="00FA2145" w:rsidP="00FA2145">
      <w:pPr>
        <w:pStyle w:val="af4"/>
        <w:ind w:left="0"/>
        <w:rPr>
          <w:rFonts w:ascii="Times New Roman" w:hAnsi="Times New Roman"/>
          <w:color w:val="FF0000"/>
          <w:sz w:val="20"/>
          <w:szCs w:val="20"/>
        </w:rPr>
      </w:pPr>
    </w:p>
    <w:p w:rsidR="00FA2145" w:rsidRPr="00416338" w:rsidRDefault="00FA2145" w:rsidP="00FA2145">
      <w:pPr>
        <w:pStyle w:val="af4"/>
        <w:ind w:left="0"/>
        <w:rPr>
          <w:rFonts w:ascii="Times New Roman" w:hAnsi="Times New Roman"/>
          <w:b/>
          <w:sz w:val="20"/>
          <w:szCs w:val="20"/>
        </w:rPr>
      </w:pPr>
      <w:r w:rsidRPr="00416338">
        <w:rPr>
          <w:rFonts w:ascii="Times New Roman" w:hAnsi="Times New Roman"/>
          <w:b/>
          <w:sz w:val="20"/>
          <w:szCs w:val="20"/>
        </w:rPr>
        <w:t>6. Условия оплаты:</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6.1. </w:t>
      </w:r>
      <w:proofErr w:type="gramStart"/>
      <w:r w:rsidRPr="00171733">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71733">
        <w:rPr>
          <w:rFonts w:ascii="Times New Roman" w:eastAsia="Times New Roman" w:hAnsi="Times New Roman"/>
          <w:sz w:val="20"/>
          <w:szCs w:val="20"/>
          <w:lang w:eastAsia="ru-RU"/>
        </w:rPr>
        <w:t xml:space="preserve"> Договора о банковском сопровождении.</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6.2.  Авансовый платёж  производится Покупателем после  двухстороннего подписания договора поставки и спецификации размере </w:t>
      </w:r>
      <w:r>
        <w:rPr>
          <w:rFonts w:ascii="Times New Roman" w:eastAsia="Times New Roman" w:hAnsi="Times New Roman"/>
          <w:sz w:val="20"/>
          <w:szCs w:val="20"/>
          <w:lang w:eastAsia="ru-RU"/>
        </w:rPr>
        <w:t xml:space="preserve">не превышающей </w:t>
      </w:r>
      <w:r w:rsidRPr="00171733">
        <w:rPr>
          <w:rFonts w:ascii="Times New Roman" w:eastAsia="Times New Roman" w:hAnsi="Times New Roman"/>
          <w:sz w:val="20"/>
          <w:szCs w:val="20"/>
          <w:lang w:eastAsia="ru-RU"/>
        </w:rPr>
        <w:t xml:space="preserve">50% от общей стоимости спецификации. </w:t>
      </w:r>
    </w:p>
    <w:p w:rsidR="00FA2145" w:rsidRPr="00171733" w:rsidRDefault="00FA2145" w:rsidP="00FA2145">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6.3. </w:t>
      </w:r>
      <w:proofErr w:type="gramStart"/>
      <w:r w:rsidRPr="00171733">
        <w:rPr>
          <w:rFonts w:ascii="Times New Roman" w:eastAsia="Times New Roman" w:hAnsi="Times New Roman"/>
          <w:sz w:val="20"/>
          <w:szCs w:val="20"/>
          <w:lang w:eastAsia="ru-RU"/>
        </w:rPr>
        <w:t>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FA2145" w:rsidRPr="00416338" w:rsidRDefault="00FA2145" w:rsidP="00FA2145">
      <w:pPr>
        <w:spacing w:after="0" w:line="240" w:lineRule="auto"/>
        <w:rPr>
          <w:rFonts w:ascii="Times New Roman" w:hAnsi="Times New Roman"/>
          <w:sz w:val="20"/>
          <w:szCs w:val="20"/>
        </w:rPr>
      </w:pPr>
      <w:r w:rsidRPr="00416338">
        <w:rPr>
          <w:rFonts w:ascii="Times New Roman" w:hAnsi="Times New Roman"/>
          <w:b/>
          <w:sz w:val="20"/>
          <w:szCs w:val="20"/>
        </w:rPr>
        <w:lastRenderedPageBreak/>
        <w:t>7. Обеспечение договора</w:t>
      </w:r>
      <w:r w:rsidRPr="00416338">
        <w:rPr>
          <w:rFonts w:ascii="Times New Roman" w:hAnsi="Times New Roman"/>
          <w:sz w:val="20"/>
          <w:szCs w:val="20"/>
        </w:rPr>
        <w:t xml:space="preserve"> (применяется для обеспечения исполнения обязательств по возврату аванса)</w:t>
      </w:r>
      <w:r w:rsidRPr="00416338">
        <w:rPr>
          <w:rFonts w:ascii="Times New Roman" w:hAnsi="Times New Roman"/>
          <w:b/>
          <w:sz w:val="20"/>
          <w:szCs w:val="20"/>
        </w:rPr>
        <w:t>:</w:t>
      </w:r>
    </w:p>
    <w:p w:rsidR="00FA2145" w:rsidRPr="00416338" w:rsidRDefault="00FA2145" w:rsidP="00FA2145">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 xml:space="preserve">7.1. </w:t>
      </w:r>
      <w:r w:rsidRPr="00416338">
        <w:rPr>
          <w:rFonts w:ascii="Times New Roman" w:hAnsi="Times New Roman" w:cs="Times New Roman"/>
          <w:sz w:val="20"/>
          <w:szCs w:val="20"/>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FA2145" w:rsidRPr="00416338" w:rsidRDefault="00FA2145" w:rsidP="00FA214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FA2145" w:rsidRPr="00416338" w:rsidRDefault="00FA2145" w:rsidP="00FA214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 xml:space="preserve">денежных средств путем их перечисления </w:t>
      </w:r>
      <w:r w:rsidRPr="00416338">
        <w:rPr>
          <w:rFonts w:ascii="Times New Roman" w:hAnsi="Times New Roman" w:cs="Times New Roman"/>
          <w:sz w:val="20"/>
          <w:szCs w:val="20"/>
          <w:lang w:eastAsia="en-US"/>
        </w:rPr>
        <w:t>Покупателю</w:t>
      </w:r>
      <w:r w:rsidRPr="00416338">
        <w:rPr>
          <w:rFonts w:ascii="Times New Roman" w:hAnsi="Times New Roman" w:cs="Times New Roman"/>
          <w:sz w:val="20"/>
          <w:szCs w:val="20"/>
          <w:lang w:val="x-none" w:eastAsia="en-US"/>
        </w:rPr>
        <w:t xml:space="preserve"> (обеспечительный платеж).</w:t>
      </w:r>
    </w:p>
    <w:p w:rsidR="00FA2145" w:rsidRPr="00416338" w:rsidRDefault="00FA2145" w:rsidP="00FA214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FA2145" w:rsidRPr="00416338" w:rsidRDefault="00FA2145" w:rsidP="00FA214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.2. Поставщик несет все расходы по получению обеспечения возврата аванса  по Договору.</w:t>
      </w:r>
    </w:p>
    <w:p w:rsidR="00FA2145" w:rsidRPr="00416338" w:rsidRDefault="00FA2145" w:rsidP="00FA2145">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A2145" w:rsidRPr="00416338" w:rsidRDefault="00FA2145" w:rsidP="00FA2145">
      <w:pPr>
        <w:spacing w:line="240" w:lineRule="auto"/>
        <w:contextualSpacing/>
        <w:rPr>
          <w:rFonts w:ascii="Times New Roman" w:hAnsi="Times New Roman" w:cs="Times New Roman"/>
          <w:sz w:val="20"/>
          <w:szCs w:val="20"/>
          <w:lang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FA2145" w:rsidRPr="00416338" w:rsidRDefault="00FA2145" w:rsidP="00FA2145">
      <w:pPr>
        <w:spacing w:line="240" w:lineRule="auto"/>
        <w:contextualSpacing/>
        <w:rPr>
          <w:rFonts w:ascii="Times New Roman" w:hAnsi="Times New Roman" w:cs="Times New Roman"/>
          <w:sz w:val="20"/>
          <w:szCs w:val="20"/>
          <w:lang w:eastAsia="en-US"/>
        </w:rPr>
      </w:pPr>
      <w:r w:rsidRPr="00416338">
        <w:rPr>
          <w:rFonts w:ascii="Times New Roman" w:hAnsi="Times New Roman" w:cs="Times New Roman"/>
          <w:sz w:val="20"/>
          <w:szCs w:val="20"/>
          <w:lang w:eastAsia="en-US"/>
        </w:rPr>
        <w:t xml:space="preserve">7.5. В </w:t>
      </w:r>
      <w:proofErr w:type="gramStart"/>
      <w:r w:rsidRPr="00416338">
        <w:rPr>
          <w:rFonts w:ascii="Times New Roman" w:hAnsi="Times New Roman" w:cs="Times New Roman"/>
          <w:sz w:val="20"/>
          <w:szCs w:val="20"/>
          <w:lang w:eastAsia="en-US"/>
        </w:rPr>
        <w:t>случае</w:t>
      </w:r>
      <w:proofErr w:type="gramEnd"/>
      <w:r w:rsidRPr="00416338">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FA2145" w:rsidRDefault="00FA2145" w:rsidP="00FA2145">
      <w:pPr>
        <w:spacing w:line="240" w:lineRule="auto"/>
        <w:contextualSpacing/>
        <w:rPr>
          <w:rFonts w:ascii="Times New Roman" w:hAnsi="Times New Roman" w:cs="Times New Roman"/>
          <w:sz w:val="20"/>
          <w:szCs w:val="20"/>
          <w:lang w:eastAsia="en-US"/>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FA2145" w:rsidRDefault="00FA2145"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FA2145">
              <w:rPr>
                <w:rFonts w:ascii="Times New Roman" w:eastAsia="Times New Roman" w:hAnsi="Times New Roman" w:cs="Times New Roman"/>
                <w:b/>
                <w:bCs/>
                <w:color w:val="000000"/>
                <w:lang w:eastAsia="ru-RU"/>
              </w:rPr>
              <w:t>м</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974BF"/>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D5CF8"/>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554C4"/>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A2145"/>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74A5-FD72-4E63-AD74-F66B09B1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5118</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2023-02-14T12:32:00Z</dcterms:modified>
</cp:coreProperties>
</file>