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A22E78" w:rsidRPr="00323818" w:rsidRDefault="003172AB" w:rsidP="00A22E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A22E78" w:rsidRPr="001C48DA">
        <w:rPr>
          <w:rFonts w:ascii="Times New Roman" w:eastAsia="Times New Roman" w:hAnsi="Times New Roman" w:cs="Times New Roman"/>
          <w:b/>
          <w:sz w:val="28"/>
          <w:szCs w:val="28"/>
        </w:rPr>
        <w:t>КАПИТАЛЬНОМУ РЕМОНТУ (РЕТРОФИТУ) ЯЧЕЕК КРУ ЗРУ 6КВ ГПП-1</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r w:rsidRPr="006C2D3F">
        <w:rPr>
          <w:rFonts w:ascii="Times New Roman" w:hAnsi="Times New Roman" w:cs="Times New Roman"/>
          <w:sz w:val="24"/>
          <w:szCs w:val="24"/>
          <w:shd w:val="clear" w:color="auto" w:fill="FFFFFF"/>
          <w:lang w:val="en-US"/>
        </w:rPr>
        <w:t>ozt</w:t>
      </w:r>
      <w:r w:rsidRPr="006C2D3F">
        <w:rPr>
          <w:rFonts w:ascii="Times New Roman" w:hAnsi="Times New Roman" w:cs="Times New Roman"/>
          <w:sz w:val="24"/>
          <w:szCs w:val="24"/>
          <w:shd w:val="clear" w:color="auto" w:fill="FFFFFF"/>
        </w:rPr>
        <w:t>1@kerch</w:t>
      </w:r>
      <w:r w:rsidRPr="006C2D3F">
        <w:rPr>
          <w:rFonts w:ascii="Times New Roman" w:hAnsi="Times New Roman" w:cs="Times New Roman"/>
          <w:sz w:val="24"/>
          <w:szCs w:val="24"/>
          <w:shd w:val="clear" w:color="auto" w:fill="FFFFFF"/>
          <w:lang w:val="en-US"/>
        </w:rPr>
        <w:t>butoma</w:t>
      </w:r>
      <w:r w:rsidRPr="006C2D3F">
        <w:rPr>
          <w:rFonts w:ascii="Times New Roman" w:hAnsi="Times New Roman" w:cs="Times New Roman"/>
          <w:sz w:val="24"/>
          <w:szCs w:val="24"/>
          <w:shd w:val="clear" w:color="auto" w:fill="FFFFFF"/>
        </w:rPr>
        <w:t>.</w:t>
      </w:r>
      <w:r w:rsidRPr="006C2D3F">
        <w:rPr>
          <w:rFonts w:ascii="Times New Roman" w:hAnsi="Times New Roman" w:cs="Times New Roman"/>
          <w:sz w:val="24"/>
          <w:szCs w:val="24"/>
          <w:shd w:val="clear" w:color="auto" w:fill="FFFFFF"/>
          <w:lang w:val="en-US"/>
        </w:rPr>
        <w:t>ru</w:t>
      </w:r>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A22E78" w:rsidRPr="001C48DA">
        <w:rPr>
          <w:b w:val="0"/>
          <w:bCs/>
          <w:spacing w:val="-2"/>
          <w:sz w:val="24"/>
          <w:szCs w:val="24"/>
        </w:rPr>
        <w:t>выполнение работ по капитальному ремонту (ретрофиту) ячеек КРУ ЗРУ 6кВ ГПП-1</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A22E78">
        <w:rPr>
          <w:sz w:val="24"/>
          <w:szCs w:val="24"/>
          <w:u w:val="single"/>
        </w:rPr>
        <w:t xml:space="preserve">4 807 800,00 </w:t>
      </w:r>
      <w:r w:rsidR="00A22E78" w:rsidRPr="00974D3E">
        <w:rPr>
          <w:sz w:val="24"/>
          <w:szCs w:val="24"/>
          <w:u w:val="single"/>
        </w:rPr>
        <w:t>рублей с НДС.</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Подрядчик обязуется предоставить в срок не позднее 15 (пятнадцати) дней с даты заключения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с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22E78">
        <w:rPr>
          <w:rFonts w:ascii="Times New Roman" w:hAnsi="Times New Roman" w:cs="Times New Roman"/>
          <w:sz w:val="24"/>
          <w:szCs w:val="24"/>
        </w:rPr>
        <w:t>13.01</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A22E78">
        <w:rPr>
          <w:rFonts w:ascii="Times New Roman" w:hAnsi="Times New Roman" w:cs="Times New Roman"/>
          <w:sz w:val="24"/>
          <w:szCs w:val="24"/>
        </w:rPr>
        <w:t>11</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A22E78">
        <w:rPr>
          <w:rFonts w:ascii="Times New Roman" w:hAnsi="Times New Roman" w:cs="Times New Roman"/>
          <w:sz w:val="24"/>
          <w:szCs w:val="24"/>
        </w:rPr>
        <w:t>20</w:t>
      </w:r>
      <w:r w:rsidR="001967F3">
        <w:rPr>
          <w:rFonts w:ascii="Times New Roman" w:hAnsi="Times New Roman" w:cs="Times New Roman"/>
          <w:sz w:val="24"/>
          <w:szCs w:val="24"/>
        </w:rPr>
        <w:t>.01.2023</w:t>
      </w:r>
      <w:r w:rsidRPr="00560E5E">
        <w:rPr>
          <w:rFonts w:ascii="Times New Roman" w:hAnsi="Times New Roman" w:cs="Times New Roman"/>
          <w:sz w:val="24"/>
          <w:szCs w:val="24"/>
        </w:rPr>
        <w:t xml:space="preserve"> 1</w:t>
      </w:r>
      <w:r w:rsidR="00A35525" w:rsidRPr="00560E5E">
        <w:rPr>
          <w:rFonts w:ascii="Times New Roman" w:hAnsi="Times New Roman" w:cs="Times New Roman"/>
          <w:sz w:val="24"/>
          <w:szCs w:val="24"/>
        </w:rPr>
        <w:t>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(мск)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A22E78">
              <w:rPr>
                <w:rFonts w:ascii="Times New Roman" w:hAnsi="Times New Roman" w:cs="Times New Roman"/>
                <w:sz w:val="24"/>
                <w:szCs w:val="24"/>
              </w:rPr>
              <w:t>13</w:t>
            </w:r>
            <w:r w:rsidR="001967F3">
              <w:rPr>
                <w:rFonts w:ascii="Times New Roman" w:hAnsi="Times New Roman" w:cs="Times New Roman"/>
                <w:sz w:val="24"/>
                <w:szCs w:val="24"/>
              </w:rPr>
              <w:t>.01.2023</w:t>
            </w:r>
            <w:r w:rsidR="00A22E78">
              <w:rPr>
                <w:rFonts w:ascii="Times New Roman" w:hAnsi="Times New Roman" w:cs="Times New Roman"/>
                <w:sz w:val="24"/>
                <w:szCs w:val="24"/>
              </w:rPr>
              <w:t xml:space="preserve"> 11</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A22E78">
              <w:rPr>
                <w:rFonts w:ascii="Times New Roman" w:hAnsi="Times New Roman" w:cs="Times New Roman"/>
                <w:sz w:val="24"/>
                <w:szCs w:val="24"/>
              </w:rPr>
              <w:t>20</w:t>
            </w:r>
            <w:r w:rsidR="001967F3">
              <w:rPr>
                <w:rFonts w:ascii="Times New Roman" w:hAnsi="Times New Roman" w:cs="Times New Roman"/>
                <w:sz w:val="24"/>
                <w:szCs w:val="24"/>
              </w:rPr>
              <w:t>.01.2023</w:t>
            </w:r>
            <w:r w:rsidR="009F59C6" w:rsidRPr="00560E5E">
              <w:rPr>
                <w:rFonts w:ascii="Times New Roman" w:hAnsi="Times New Roman" w:cs="Times New Roman"/>
                <w:sz w:val="24"/>
                <w:szCs w:val="24"/>
              </w:rPr>
              <w:t xml:space="preserve"> 12:00</w:t>
            </w:r>
            <w:r w:rsidR="006B2E9A" w:rsidRPr="00974D3E">
              <w:rPr>
                <w:rFonts w:ascii="Times New Roman" w:hAnsi="Times New Roman" w:cs="Times New Roman"/>
                <w:sz w:val="24"/>
                <w:szCs w:val="24"/>
              </w:rPr>
              <w:t xml:space="preserve"> час. (мск)</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22E78"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22E78"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A22E78">
        <w:rPr>
          <w:rFonts w:ascii="Times New Roman" w:hAnsi="Times New Roman" w:cs="Times New Roman"/>
          <w:sz w:val="24"/>
          <w:szCs w:val="24"/>
        </w:rPr>
        <w:t>17</w:t>
      </w:r>
      <w:r w:rsidR="001967F3">
        <w:rPr>
          <w:rFonts w:ascii="Times New Roman" w:hAnsi="Times New Roman" w:cs="Times New Roman"/>
          <w:sz w:val="24"/>
          <w:szCs w:val="24"/>
        </w:rPr>
        <w:t>.02.2023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 xml:space="preserve">должны быть предоставлены участником закупки через электронную площадку (далее –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A22E78" w:rsidRPr="00974D3E" w:rsidRDefault="00A22E78" w:rsidP="00A22E78">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22E78" w:rsidRPr="00974D3E" w:rsidRDefault="00A22E78" w:rsidP="00A22E78">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10</w:t>
      </w:r>
      <w:r w:rsidRPr="00974D3E">
        <w:rPr>
          <w:rFonts w:ascii="Times New Roman" w:eastAsia="Courier New" w:hAnsi="Times New Roman" w:cs="Times New Roman"/>
          <w:sz w:val="24"/>
          <w:szCs w:val="24"/>
          <w:shd w:val="clear" w:color="auto" w:fill="FFFFFF"/>
          <w:lang w:eastAsia="ru-RU"/>
        </w:rPr>
        <w:t>%</w:t>
      </w:r>
      <w:r>
        <w:rPr>
          <w:rFonts w:ascii="Times New Roman" w:eastAsia="DejaVu Sans" w:hAnsi="Times New Roman" w:cs="Times New Roman"/>
          <w:sz w:val="24"/>
          <w:szCs w:val="24"/>
        </w:rPr>
        <w:t>,</w:t>
      </w:r>
      <w:r w:rsidRPr="00974D3E">
        <w:rPr>
          <w:rFonts w:ascii="Times New Roman" w:eastAsia="Courier New" w:hAnsi="Times New Roman" w:cs="Times New Roman"/>
          <w:sz w:val="24"/>
          <w:szCs w:val="24"/>
          <w:shd w:val="clear" w:color="auto" w:fill="FFFFFF"/>
          <w:lang w:eastAsia="ru-RU"/>
        </w:rPr>
        <w:t xml:space="preserve"> </w:t>
      </w:r>
      <w:r>
        <w:rPr>
          <w:rFonts w:ascii="Times New Roman" w:eastAsia="Courier New" w:hAnsi="Times New Roman" w:cs="Times New Roman"/>
          <w:sz w:val="24"/>
          <w:szCs w:val="24"/>
          <w:shd w:val="clear" w:color="auto" w:fill="FFFFFF"/>
          <w:lang w:eastAsia="ru-RU"/>
        </w:rPr>
        <w:t>производится в течение 10</w:t>
      </w:r>
      <w:r w:rsidRPr="00E240F8">
        <w:rPr>
          <w:rFonts w:ascii="Times New Roman" w:eastAsia="Courier New" w:hAnsi="Times New Roman" w:cs="Times New Roman"/>
          <w:sz w:val="24"/>
          <w:szCs w:val="24"/>
          <w:shd w:val="clear" w:color="auto" w:fill="FFFFFF"/>
          <w:lang w:eastAsia="ru-RU"/>
        </w:rPr>
        <w:t xml:space="preserve"> рабочих дней </w:t>
      </w:r>
      <w:r>
        <w:rPr>
          <w:rFonts w:ascii="Times New Roman" w:eastAsia="Courier New" w:hAnsi="Times New Roman" w:cs="Times New Roman"/>
          <w:sz w:val="24"/>
          <w:szCs w:val="24"/>
          <w:shd w:val="clear" w:color="auto" w:fill="FFFFFF"/>
          <w:lang w:eastAsia="ru-RU"/>
        </w:rPr>
        <w:t xml:space="preserve">после </w:t>
      </w:r>
      <w:r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Courier New" w:hAnsi="Times New Roman" w:cs="Times New Roman"/>
          <w:sz w:val="24"/>
          <w:szCs w:val="24"/>
          <w:shd w:val="clear" w:color="auto" w:fill="FFFFFF"/>
          <w:lang w:eastAsia="ru-RU"/>
        </w:rPr>
        <w:t>;</w:t>
      </w:r>
    </w:p>
    <w:p w:rsidR="00A22E78" w:rsidRDefault="00A22E78" w:rsidP="00A22E78">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Pr>
          <w:rFonts w:ascii="Times New Roman" w:eastAsia="Courier New" w:hAnsi="Times New Roman" w:cs="Times New Roman"/>
          <w:sz w:val="24"/>
          <w:szCs w:val="24"/>
          <w:shd w:val="clear" w:color="auto" w:fill="FFFFFF"/>
          <w:lang w:eastAsia="ru-RU"/>
        </w:rPr>
        <w:t>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A22E78" w:rsidRPr="00974D3E" w:rsidRDefault="00A22E78" w:rsidP="00A22E78">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A22E78" w:rsidRPr="00974D3E" w:rsidRDefault="00A22E78" w:rsidP="00A22E78">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т.ч.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неприостановление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A22E78" w:rsidRPr="00610BF4"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A22E78" w:rsidRPr="00610BF4"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22E78" w:rsidRPr="00E753AD"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A22E78"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7)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22E78"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22E78" w:rsidRPr="00974D3E" w:rsidRDefault="00A22E78" w:rsidP="00A22E78">
      <w:pPr>
        <w:pStyle w:val="1711"/>
        <w:numPr>
          <w:ilvl w:val="0"/>
          <w:numId w:val="0"/>
        </w:numPr>
        <w:tabs>
          <w:tab w:val="left" w:pos="567"/>
        </w:tabs>
        <w:ind w:firstLine="567"/>
        <w:rPr>
          <w:spacing w:val="-1"/>
          <w:sz w:val="24"/>
          <w:szCs w:val="24"/>
        </w:rPr>
      </w:pPr>
      <w:r>
        <w:rPr>
          <w:sz w:val="24"/>
          <w:szCs w:val="24"/>
        </w:rPr>
        <w:t>9</w:t>
      </w:r>
      <w:r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Pr>
          <w:sz w:val="24"/>
          <w:szCs w:val="24"/>
        </w:rPr>
        <w:t>ие №4 к документации о закупке).</w:t>
      </w:r>
    </w:p>
    <w:p w:rsidR="00A22E78" w:rsidRPr="00974D3E" w:rsidRDefault="00A22E78" w:rsidP="00A22E78">
      <w:pPr>
        <w:pStyle w:val="1711"/>
        <w:numPr>
          <w:ilvl w:val="0"/>
          <w:numId w:val="0"/>
        </w:numPr>
        <w:tabs>
          <w:tab w:val="left" w:pos="567"/>
        </w:tabs>
        <w:ind w:firstLine="567"/>
        <w:rPr>
          <w:spacing w:val="-1"/>
          <w:sz w:val="24"/>
          <w:szCs w:val="24"/>
        </w:rPr>
      </w:pPr>
      <w:r>
        <w:rPr>
          <w:spacing w:val="-1"/>
          <w:sz w:val="24"/>
          <w:szCs w:val="24"/>
        </w:rPr>
        <w:t>10</w:t>
      </w:r>
      <w:r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Pr>
          <w:spacing w:val="-1"/>
          <w:sz w:val="24"/>
          <w:szCs w:val="24"/>
        </w:rPr>
        <w:t>окументации форме (Приложение №5</w:t>
      </w:r>
      <w:r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A22E78" w:rsidRPr="00974D3E" w:rsidRDefault="00A22E78" w:rsidP="00A22E78">
      <w:pPr>
        <w:pStyle w:val="1711"/>
        <w:numPr>
          <w:ilvl w:val="0"/>
          <w:numId w:val="0"/>
        </w:numPr>
        <w:tabs>
          <w:tab w:val="left" w:pos="567"/>
        </w:tabs>
        <w:ind w:firstLine="567"/>
        <w:rPr>
          <w:spacing w:val="-1"/>
          <w:sz w:val="24"/>
          <w:szCs w:val="24"/>
        </w:rPr>
      </w:pPr>
      <w:r>
        <w:rPr>
          <w:spacing w:val="-1"/>
          <w:sz w:val="24"/>
          <w:szCs w:val="24"/>
        </w:rPr>
        <w:t>11</w:t>
      </w:r>
      <w:r w:rsidRPr="00974D3E">
        <w:rPr>
          <w:spacing w:val="-1"/>
          <w:sz w:val="24"/>
          <w:szCs w:val="24"/>
        </w:rPr>
        <w:t>) Смета, выполненная в ГЭСН в ценах Республики Крым (надле</w:t>
      </w:r>
      <w:r>
        <w:rPr>
          <w:spacing w:val="-1"/>
          <w:sz w:val="24"/>
          <w:szCs w:val="24"/>
        </w:rPr>
        <w:t>жащим образом заверенная копия).</w:t>
      </w:r>
    </w:p>
    <w:p w:rsidR="00A22E78" w:rsidRDefault="00A22E78" w:rsidP="00A22E78">
      <w:pPr>
        <w:pStyle w:val="1711"/>
        <w:numPr>
          <w:ilvl w:val="0"/>
          <w:numId w:val="0"/>
        </w:numPr>
        <w:tabs>
          <w:tab w:val="left" w:pos="567"/>
        </w:tabs>
        <w:ind w:firstLine="567"/>
        <w:rPr>
          <w:sz w:val="24"/>
          <w:szCs w:val="24"/>
          <w:lang w:eastAsia="ar-SA"/>
        </w:rPr>
      </w:pPr>
      <w:r>
        <w:rPr>
          <w:spacing w:val="-1"/>
          <w:sz w:val="24"/>
          <w:szCs w:val="24"/>
        </w:rPr>
        <w:t>12</w:t>
      </w:r>
      <w:r w:rsidRPr="00974D3E">
        <w:rPr>
          <w:spacing w:val="-1"/>
          <w:sz w:val="24"/>
          <w:szCs w:val="24"/>
        </w:rPr>
        <w:t xml:space="preserve">) </w:t>
      </w:r>
      <w:r w:rsidRPr="00974D3E">
        <w:rPr>
          <w:sz w:val="24"/>
          <w:szCs w:val="24"/>
          <w:lang w:eastAsia="ar-SA"/>
        </w:rPr>
        <w:t>Реквизиты паспорта лица, назначенного (избранного) единоличного исполнительного органа Подрядчика</w:t>
      </w:r>
      <w:r>
        <w:rPr>
          <w:sz w:val="24"/>
          <w:szCs w:val="24"/>
          <w:lang w:eastAsia="ar-SA"/>
        </w:rPr>
        <w:t>.</w:t>
      </w:r>
    </w:p>
    <w:p w:rsidR="00A22E78" w:rsidRDefault="00A22E78" w:rsidP="00A22E78">
      <w:pPr>
        <w:pStyle w:val="1711"/>
        <w:numPr>
          <w:ilvl w:val="0"/>
          <w:numId w:val="0"/>
        </w:numPr>
        <w:tabs>
          <w:tab w:val="left" w:pos="567"/>
        </w:tabs>
        <w:ind w:firstLine="567"/>
        <w:rPr>
          <w:sz w:val="24"/>
          <w:szCs w:val="24"/>
          <w:lang w:eastAsia="ar-SA"/>
        </w:rPr>
      </w:pPr>
      <w:r>
        <w:rPr>
          <w:sz w:val="24"/>
          <w:szCs w:val="24"/>
          <w:lang w:eastAsia="ar-SA"/>
        </w:rPr>
        <w:t xml:space="preserve">13) </w:t>
      </w:r>
      <w:r w:rsidRPr="004D28D5">
        <w:rPr>
          <w:sz w:val="24"/>
          <w:szCs w:val="24"/>
          <w:lang w:eastAsia="ar-SA"/>
        </w:rPr>
        <w:t>Свидетельство СРО (надле</w:t>
      </w:r>
      <w:r>
        <w:rPr>
          <w:sz w:val="24"/>
          <w:szCs w:val="24"/>
          <w:lang w:eastAsia="ar-SA"/>
        </w:rPr>
        <w:t>жащим образом заверенная копия).</w:t>
      </w:r>
    </w:p>
    <w:p w:rsidR="00A22E78" w:rsidRDefault="00A22E78" w:rsidP="00A22E7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A22E78">
        <w:rPr>
          <w:rFonts w:ascii="Times New Roman" w:hAnsi="Times New Roman" w:cs="Times New Roman"/>
          <w:sz w:val="24"/>
          <w:szCs w:val="24"/>
        </w:rPr>
        <w:t>13</w:t>
      </w:r>
      <w:r w:rsidR="00560E5E">
        <w:rPr>
          <w:rFonts w:ascii="Times New Roman" w:hAnsi="Times New Roman" w:cs="Times New Roman"/>
          <w:sz w:val="24"/>
          <w:szCs w:val="24"/>
        </w:rPr>
        <w:t>.0</w:t>
      </w:r>
      <w:r w:rsidR="007F5E66">
        <w:rPr>
          <w:rFonts w:ascii="Times New Roman" w:hAnsi="Times New Roman" w:cs="Times New Roman"/>
          <w:sz w:val="24"/>
          <w:szCs w:val="24"/>
        </w:rPr>
        <w:t>1.2023</w:t>
      </w:r>
      <w:r w:rsidR="00A22E78">
        <w:rPr>
          <w:rFonts w:ascii="Times New Roman" w:hAnsi="Times New Roman" w:cs="Times New Roman"/>
          <w:sz w:val="24"/>
          <w:szCs w:val="24"/>
        </w:rPr>
        <w:t xml:space="preserve"> 11</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A22E78">
        <w:rPr>
          <w:rFonts w:ascii="Times New Roman" w:hAnsi="Times New Roman" w:cs="Times New Roman"/>
          <w:sz w:val="24"/>
          <w:szCs w:val="24"/>
        </w:rPr>
        <w:t>19</w:t>
      </w:r>
      <w:r w:rsidR="007F5E66">
        <w:rPr>
          <w:rFonts w:ascii="Times New Roman" w:hAnsi="Times New Roman" w:cs="Times New Roman"/>
          <w:sz w:val="24"/>
          <w:szCs w:val="24"/>
        </w:rPr>
        <w:t>.01.2023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03F51" w:rsidRPr="00560E5E">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r w:rsidR="00821C6B" w:rsidRPr="00560E5E">
        <w:rPr>
          <w:rFonts w:ascii="Times New Roman" w:hAnsi="Times New Roman" w:cs="Times New Roman"/>
          <w:sz w:val="24"/>
          <w:szCs w:val="24"/>
        </w:rPr>
        <w:t>мск</w:t>
      </w:r>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В рамках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В случае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дложений признается несостоявшим</w:t>
      </w:r>
      <w:r w:rsidR="00C97C10" w:rsidRPr="00974D3E">
        <w:rPr>
          <w:rFonts w:ascii="Times New Roman" w:hAnsi="Times New Roman" w:cs="Times New Roman"/>
          <w:sz w:val="24"/>
          <w:szCs w:val="24"/>
        </w:rPr>
        <w:t>ся,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A22E78" w:rsidRPr="001C48DA" w:rsidRDefault="00A22E78" w:rsidP="00A22E78">
      <w:pPr>
        <w:suppressAutoHyphens w:val="0"/>
        <w:spacing w:after="0" w:line="240" w:lineRule="auto"/>
        <w:jc w:val="center"/>
        <w:rPr>
          <w:rFonts w:ascii="Times New Roman" w:eastAsia="Times New Roman" w:hAnsi="Times New Roman" w:cs="Times New Roman"/>
          <w:b/>
          <w:sz w:val="24"/>
          <w:lang w:eastAsia="ru-RU"/>
        </w:rPr>
      </w:pPr>
      <w:r w:rsidRPr="001C48DA">
        <w:rPr>
          <w:rFonts w:ascii="Times New Roman" w:eastAsia="Times New Roman" w:hAnsi="Times New Roman" w:cs="Times New Roman"/>
          <w:b/>
          <w:sz w:val="24"/>
          <w:lang w:eastAsia="ru-RU"/>
        </w:rPr>
        <w:t>ТЕХНИЧЕСКОЕ ЗАДАНИЕ</w:t>
      </w:r>
    </w:p>
    <w:p w:rsidR="00A22E78" w:rsidRPr="001C48DA" w:rsidRDefault="00A22E78" w:rsidP="00A22E78">
      <w:pPr>
        <w:suppressAutoHyphens w:val="0"/>
        <w:spacing w:after="0" w:line="240" w:lineRule="auto"/>
        <w:jc w:val="center"/>
        <w:rPr>
          <w:rFonts w:ascii="Times New Roman" w:eastAsia="Times New Roman" w:hAnsi="Times New Roman" w:cs="Times New Roman"/>
          <w:i/>
          <w:sz w:val="24"/>
          <w:lang w:eastAsia="ru-RU"/>
        </w:rPr>
      </w:pPr>
      <w:r w:rsidRPr="001C48DA">
        <w:rPr>
          <w:rFonts w:ascii="Times New Roman" w:eastAsia="Times New Roman" w:hAnsi="Times New Roman" w:cs="Times New Roman"/>
          <w:i/>
          <w:sz w:val="24"/>
          <w:lang w:eastAsia="ru-RU"/>
        </w:rPr>
        <w:t>На выполнение работ по капитальному ремонту (ретрофиту) ячеек КРУ ЗРУ 6кВ ГПП-1</w:t>
      </w:r>
    </w:p>
    <w:p w:rsidR="00A22E78" w:rsidRPr="001C48DA" w:rsidRDefault="00A22E78" w:rsidP="00A22E78">
      <w:pPr>
        <w:suppressAutoHyphens w:val="0"/>
        <w:spacing w:after="0" w:line="240" w:lineRule="auto"/>
        <w:jc w:val="center"/>
        <w:rPr>
          <w:rFonts w:ascii="Times New Roman" w:eastAsia="Times New Roman" w:hAnsi="Times New Roman" w:cs="Times New Roman"/>
          <w:b/>
          <w:lang w:eastAsia="ru-RU"/>
        </w:rPr>
      </w:pPr>
    </w:p>
    <w:p w:rsidR="00A22E78" w:rsidRPr="001C48DA" w:rsidRDefault="00A22E78" w:rsidP="00A22E78">
      <w:pPr>
        <w:numPr>
          <w:ilvl w:val="0"/>
          <w:numId w:val="10"/>
        </w:numPr>
        <w:suppressAutoHyphens w:val="0"/>
        <w:spacing w:after="0" w:line="240" w:lineRule="auto"/>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b/>
          <w:sz w:val="24"/>
          <w:szCs w:val="24"/>
          <w:lang w:eastAsia="ru-RU"/>
        </w:rPr>
        <w:t>Перечень работ</w:t>
      </w:r>
      <w:r w:rsidRPr="001C48DA">
        <w:rPr>
          <w:rFonts w:ascii="Times New Roman" w:eastAsia="Times New Roman" w:hAnsi="Times New Roman" w:cs="Times New Roman"/>
          <w:b/>
          <w:sz w:val="24"/>
          <w:szCs w:val="24"/>
          <w:lang w:val="en-US" w:eastAsia="ru-RU"/>
        </w:rPr>
        <w:t>:</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en-US"/>
        </w:rPr>
        <w:t xml:space="preserve">Выполнить капитальный ремонт (ретрофит) ячеек №8, №11, №15 распределительного устройства 6кВ (ЗРУ-6кВ) ГПП-1 г. Керчь, с заменой </w:t>
      </w:r>
      <w:r w:rsidRPr="001C48DA">
        <w:rPr>
          <w:rFonts w:ascii="Times New Roman" w:eastAsia="Times New Roman" w:hAnsi="Times New Roman" w:cs="Times New Roman"/>
          <w:sz w:val="24"/>
          <w:szCs w:val="24"/>
          <w:lang w:eastAsia="ru-RU"/>
        </w:rPr>
        <w:t>масляных выключателей  на вакуумные в количестве трех единиц, включающий поставку оборудования и выполнение проектных, строительно-монтажных и пусконаладочных работ «под ключ» с организацией релейной защиты на базе микропроцессорных терминалов (МПЗ).</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1.1.</w:t>
      </w:r>
      <w:r w:rsidRPr="001C48DA">
        <w:rPr>
          <w:rFonts w:ascii="Times New Roman" w:eastAsia="Times New Roman" w:hAnsi="Times New Roman" w:cs="Times New Roman"/>
          <w:sz w:val="24"/>
          <w:szCs w:val="24"/>
          <w:lang w:eastAsia="ru-RU"/>
        </w:rPr>
        <w:tab/>
        <w:t>Работы выполняются для нужд предприятия,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1.2.</w:t>
      </w:r>
      <w:r w:rsidRPr="001C48DA">
        <w:rPr>
          <w:rFonts w:ascii="Times New Roman" w:eastAsia="Times New Roman" w:hAnsi="Times New Roman" w:cs="Times New Roman"/>
          <w:sz w:val="24"/>
          <w:szCs w:val="24"/>
          <w:lang w:eastAsia="ru-RU"/>
        </w:rPr>
        <w:tab/>
        <w:t>Для возможности осуществлять платежи по договору, Исполнителю в целях выполнения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счет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 Договора о банковском сопровождении.</w:t>
      </w:r>
      <w:r w:rsidRPr="001C48DA">
        <w:rPr>
          <w:rFonts w:ascii="Times New Roman" w:eastAsia="Times New Roman" w:hAnsi="Times New Roman" w:cs="Times New Roman"/>
          <w:sz w:val="24"/>
          <w:szCs w:val="24"/>
          <w:lang w:eastAsia="ru-RU"/>
        </w:rPr>
        <w:tab/>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ab/>
        <w:t>На момент заключения настоящего Договора уполномоченным банком Заказчика является ПАО «ПРОМСВЯЗЬБАНК».</w:t>
      </w:r>
    </w:p>
    <w:p w:rsidR="00A22E78" w:rsidRPr="001C48DA" w:rsidRDefault="00A22E78" w:rsidP="00A22E78">
      <w:pPr>
        <w:suppressAutoHyphens w:val="0"/>
        <w:spacing w:after="0" w:line="240" w:lineRule="auto"/>
        <w:jc w:val="both"/>
        <w:rPr>
          <w:rFonts w:ascii="Times New Roman" w:eastAsia="Times New Roman" w:hAnsi="Times New Roman" w:cs="Times New Roman"/>
          <w:lang w:eastAsia="ru-RU"/>
        </w:rPr>
      </w:pPr>
    </w:p>
    <w:p w:rsidR="00A22E78" w:rsidRPr="001C48DA" w:rsidRDefault="00A22E78" w:rsidP="00A22E78">
      <w:pPr>
        <w:numPr>
          <w:ilvl w:val="0"/>
          <w:numId w:val="10"/>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b/>
          <w:sz w:val="24"/>
          <w:lang w:eastAsia="ru-RU"/>
        </w:rPr>
        <w:t xml:space="preserve">Характеристики существующего оборудования указаны в таблице 1. </w:t>
      </w:r>
    </w:p>
    <w:p w:rsidR="00A22E78" w:rsidRPr="001C48DA" w:rsidRDefault="00A22E78" w:rsidP="00A22E78">
      <w:pPr>
        <w:suppressAutoHyphens w:val="0"/>
        <w:spacing w:after="0" w:line="240" w:lineRule="auto"/>
        <w:rPr>
          <w:rFonts w:ascii="Times New Roman" w:eastAsia="Times New Roman" w:hAnsi="Times New Roman" w:cs="Times New Roman"/>
          <w:b/>
          <w:lang w:eastAsia="ru-RU"/>
        </w:rPr>
      </w:pPr>
      <w:r w:rsidRPr="001C48DA">
        <w:rPr>
          <w:rFonts w:ascii="Times New Roman" w:eastAsia="Times New Roman" w:hAnsi="Times New Roman" w:cs="Times New Roman"/>
          <w:b/>
          <w:lang w:eastAsia="ru-RU"/>
        </w:rPr>
        <w:t>Таблица 1. Характеристики существующего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333"/>
        <w:gridCol w:w="2829"/>
        <w:gridCol w:w="2831"/>
      </w:tblGrid>
      <w:tr w:rsidR="00A22E78" w:rsidRPr="001C48DA" w:rsidTr="00A22E78">
        <w:trPr>
          <w:trHeight w:val="331"/>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w:t>
            </w:r>
          </w:p>
        </w:tc>
        <w:tc>
          <w:tcPr>
            <w:tcW w:w="2051"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Наименование</w:t>
            </w:r>
          </w:p>
        </w:tc>
        <w:tc>
          <w:tcPr>
            <w:tcW w:w="2679" w:type="pct"/>
            <w:gridSpan w:val="2"/>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Характеристики</w:t>
            </w:r>
          </w:p>
        </w:tc>
      </w:tr>
      <w:tr w:rsidR="00A22E78" w:rsidRPr="001C48DA" w:rsidTr="00A22E78">
        <w:trPr>
          <w:trHeight w:val="356"/>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Объект</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ГПП-1</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356"/>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2</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Наименование РУ</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ЗРУ-6кВ, ГПП-1</w:t>
            </w:r>
          </w:p>
        </w:tc>
        <w:tc>
          <w:tcPr>
            <w:tcW w:w="1340" w:type="pct"/>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ru-RU"/>
              </w:rPr>
            </w:pPr>
          </w:p>
        </w:tc>
      </w:tr>
      <w:tr w:rsidR="00A22E78" w:rsidRPr="001C48DA" w:rsidTr="00A22E78">
        <w:trPr>
          <w:trHeight w:val="197"/>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3</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Диспетчерское наименование ячейки</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ЯЧ №8, №11, №15</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4</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Тип существующей ячейки</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КРУ-2-10Э,</w:t>
            </w:r>
            <w:r w:rsidRPr="001C48DA">
              <w:rPr>
                <w:rFonts w:ascii="Times New Roman" w:eastAsia="Times New Roman" w:hAnsi="Times New Roman" w:cs="Times New Roman"/>
                <w:sz w:val="24"/>
                <w:szCs w:val="24"/>
                <w:lang w:eastAsia="ru-RU"/>
              </w:rPr>
              <w:br/>
            </w:r>
            <w:r w:rsidRPr="001C48DA">
              <w:rPr>
                <w:rFonts w:ascii="Times New Roman" w:eastAsia="Times New Roman" w:hAnsi="Times New Roman" w:cs="Times New Roman"/>
                <w:sz w:val="24"/>
                <w:szCs w:val="24"/>
                <w:lang w:val="en-US" w:eastAsia="ru-RU"/>
              </w:rPr>
              <w:t>I</w:t>
            </w:r>
            <w:r w:rsidRPr="001C48DA">
              <w:rPr>
                <w:rFonts w:ascii="Times New Roman" w:eastAsia="Times New Roman" w:hAnsi="Times New Roman" w:cs="Times New Roman"/>
                <w:sz w:val="24"/>
                <w:szCs w:val="24"/>
                <w:lang w:eastAsia="ru-RU"/>
              </w:rPr>
              <w:t xml:space="preserve"> ном=600А</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5</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Тип выключателя</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ВМП 10-630-20</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6</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Номинальное напряжение, кВ</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6</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7</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Номинальный ток выключателя, А</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630</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8</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Оперативный ток, В</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xml:space="preserve">230 </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9</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Тип оперативного тока</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переменный</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10</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Номинальный ток отключения, кА</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20</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11</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Ток термической стойкости, кА</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20</w:t>
            </w:r>
          </w:p>
        </w:tc>
        <w:tc>
          <w:tcPr>
            <w:tcW w:w="1340"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12</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Тип привода выключателя</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ПЭ-11</w:t>
            </w:r>
          </w:p>
        </w:tc>
        <w:tc>
          <w:tcPr>
            <w:tcW w:w="134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13</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Рабочее напряжение привода, В</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230</w:t>
            </w:r>
          </w:p>
        </w:tc>
        <w:tc>
          <w:tcPr>
            <w:tcW w:w="134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p>
        </w:tc>
      </w:tr>
      <w:tr w:rsidR="00A22E78" w:rsidRPr="001C48DA" w:rsidTr="00A22E78">
        <w:trPr>
          <w:trHeight w:val="209"/>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14</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ТИП реле</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РТЗ-50, РП 256, РТ-84/2, РУ-21 – 2 шт.</w:t>
            </w:r>
          </w:p>
        </w:tc>
        <w:tc>
          <w:tcPr>
            <w:tcW w:w="134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Уточнить по месту</w:t>
            </w:r>
          </w:p>
        </w:tc>
      </w:tr>
      <w:tr w:rsidR="00A22E78" w:rsidRPr="001C48DA" w:rsidTr="00A22E78">
        <w:trPr>
          <w:trHeight w:val="284"/>
        </w:trPr>
        <w:tc>
          <w:tcPr>
            <w:tcW w:w="27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15</w:t>
            </w:r>
          </w:p>
        </w:tc>
        <w:tc>
          <w:tcPr>
            <w:tcW w:w="2051" w:type="pct"/>
          </w:tcPr>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xml:space="preserve">Релейная защита </w:t>
            </w:r>
          </w:p>
        </w:tc>
        <w:tc>
          <w:tcPr>
            <w:tcW w:w="1339"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МТЗ, ТЗНП, токовая отсечка.</w:t>
            </w:r>
          </w:p>
        </w:tc>
        <w:tc>
          <w:tcPr>
            <w:tcW w:w="1340" w:type="pct"/>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ru-RU"/>
              </w:rPr>
            </w:pPr>
          </w:p>
        </w:tc>
      </w:tr>
    </w:tbl>
    <w:p w:rsidR="00A22E78" w:rsidRPr="001C48DA" w:rsidRDefault="00A22E78" w:rsidP="00A22E78">
      <w:pPr>
        <w:suppressAutoHyphens w:val="0"/>
        <w:spacing w:after="0" w:line="240" w:lineRule="auto"/>
        <w:jc w:val="both"/>
        <w:rPr>
          <w:rFonts w:ascii="Times New Roman" w:hAnsi="Times New Roman" w:cs="Times New Roman"/>
          <w:b/>
          <w:lang w:eastAsia="en-US"/>
        </w:rPr>
      </w:pPr>
    </w:p>
    <w:p w:rsidR="00A22E78" w:rsidRPr="001C48DA" w:rsidRDefault="00A22E78" w:rsidP="00A22E78">
      <w:pPr>
        <w:numPr>
          <w:ilvl w:val="0"/>
          <w:numId w:val="10"/>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b/>
          <w:sz w:val="24"/>
          <w:lang w:eastAsia="ru-RU"/>
        </w:rPr>
        <w:t>Общие требования и характеристики поставляемого оборудования.</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К поставке допускается оборудование, отвечающее следующим требованиям:</w:t>
      </w:r>
    </w:p>
    <w:p w:rsidR="00A22E78" w:rsidRPr="001C48DA" w:rsidRDefault="00A22E78" w:rsidP="00A22E78">
      <w:pPr>
        <w:numPr>
          <w:ilvl w:val="2"/>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xml:space="preserve"> 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A22E78" w:rsidRPr="001C48DA" w:rsidRDefault="00A22E78" w:rsidP="00A22E78">
      <w:pPr>
        <w:numPr>
          <w:ilvl w:val="2"/>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lastRenderedPageBreak/>
        <w:t xml:space="preserve"> 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22E78" w:rsidRPr="001C48DA" w:rsidRDefault="00A22E78" w:rsidP="00A22E78">
      <w:pPr>
        <w:numPr>
          <w:ilvl w:val="2"/>
          <w:numId w:val="11"/>
        </w:numPr>
        <w:suppressAutoHyphens w:val="0"/>
        <w:spacing w:after="0" w:line="240" w:lineRule="auto"/>
        <w:ind w:left="0" w:firstLine="0"/>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Соответствие Постановлению Правительства РФ от 30 апреля 2020 года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 изменениями на 17 февраля 2022 года)</w:t>
      </w:r>
    </w:p>
    <w:p w:rsidR="00A22E78" w:rsidRPr="001C48DA" w:rsidRDefault="00A22E78" w:rsidP="00A22E78">
      <w:pPr>
        <w:numPr>
          <w:ilvl w:val="2"/>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xml:space="preserve"> Для российских производителей - положительное заключение МВК, ТУ, или иные документы, подтверждающие соответствие техническим требованиям;</w:t>
      </w:r>
    </w:p>
    <w:p w:rsidR="00A22E78" w:rsidRPr="001C48DA" w:rsidRDefault="00A22E78" w:rsidP="00A22E78">
      <w:pPr>
        <w:numPr>
          <w:ilvl w:val="2"/>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xml:space="preserve"> Сертификация должна быть проведена в соответствии с Постановлением Госстандарта РФ от 16 июля 1999 г. N 36 "О Правилах проведения сертификации электрооборудования".</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Оборудование должно соответствовать требованиям «Правил устройства электроустановок» (ПУЭ) (7-е издание) и требованиям стандартов МЭК и ГОСТ:</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ГОСТ Р 52565-2006 «Выключатели переменного тока на напряжения от 3 до 750 кВ. Общие технические условия»;</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ГОСТ 15543.1-89 «Изделия электротехнические. Общие требования в части стойкости к климатическим внешним воздействующим факторам».</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МЭК 62271-100(2001) «Высоковольтное комплектное распределительное устройство. Часть 100. Высоковольтные автоматические выключатели переменного тока».</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Сертификаты и документы должны быть приложены к конкурсной процедуре.</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Продукция по своим характеристикам должна соответствовать всем требованиям Заказчика.</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xml:space="preserve">Требования к маркировке Продукции. </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Продукция должна иметь маркировку в соответствии с действующими ГОСТами.</w:t>
      </w:r>
    </w:p>
    <w:p w:rsidR="00A22E78" w:rsidRPr="001C48DA" w:rsidRDefault="00A22E78" w:rsidP="00A22E78">
      <w:pPr>
        <w:suppressAutoHyphens w:val="0"/>
        <w:spacing w:after="0" w:line="240" w:lineRule="auto"/>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Коммутационный модуль должен иметь на корпусе привода фирменную табличку предприятия-изготовителя, содержащую следующую информацию: обозначение коммутационного модуля; серийный номер.</w:t>
      </w:r>
    </w:p>
    <w:p w:rsidR="00A22E78" w:rsidRPr="001C48DA" w:rsidRDefault="00A22E78" w:rsidP="00A22E78">
      <w:pPr>
        <w:numPr>
          <w:ilvl w:val="1"/>
          <w:numId w:val="11"/>
        </w:numPr>
        <w:suppressAutoHyphens w:val="0"/>
        <w:spacing w:after="0" w:line="240" w:lineRule="auto"/>
        <w:ind w:left="0" w:firstLine="0"/>
        <w:jc w:val="both"/>
        <w:rPr>
          <w:rFonts w:ascii="Times New Roman" w:eastAsia="Times New Roman" w:hAnsi="Times New Roman" w:cs="Times New Roman"/>
          <w:sz w:val="24"/>
          <w:lang w:eastAsia="ru-RU"/>
        </w:rPr>
      </w:pPr>
      <w:r w:rsidRPr="001C48DA">
        <w:rPr>
          <w:rFonts w:ascii="Times New Roman" w:eastAsia="Times New Roman" w:hAnsi="Times New Roman" w:cs="Times New Roman"/>
          <w:sz w:val="24"/>
          <w:lang w:eastAsia="ru-RU"/>
        </w:rPr>
        <w:t xml:space="preserve"> Основные параметры и характеристики поставляемой Продукции и выполняемых работ указаны в таблице 2.</w:t>
      </w:r>
    </w:p>
    <w:p w:rsidR="00A22E78" w:rsidRPr="001C48DA" w:rsidRDefault="00A22E78" w:rsidP="00A22E78">
      <w:pPr>
        <w:suppressAutoHyphens w:val="0"/>
        <w:spacing w:after="0" w:line="240" w:lineRule="auto"/>
        <w:rPr>
          <w:rFonts w:ascii="Times New Roman" w:eastAsia="Times New Roman" w:hAnsi="Times New Roman" w:cs="Times New Roman"/>
          <w:lang w:eastAsia="ru-RU"/>
        </w:rPr>
      </w:pPr>
    </w:p>
    <w:p w:rsidR="00A22E78" w:rsidRPr="001C48DA" w:rsidRDefault="00A22E78" w:rsidP="00A22E78">
      <w:pPr>
        <w:suppressAutoHyphens w:val="0"/>
        <w:spacing w:after="0" w:line="240" w:lineRule="auto"/>
        <w:rPr>
          <w:rFonts w:ascii="Times New Roman" w:eastAsia="Times New Roman" w:hAnsi="Times New Roman" w:cs="Times New Roman"/>
          <w:b/>
          <w:lang w:eastAsia="ru-RU"/>
        </w:rPr>
      </w:pPr>
      <w:r w:rsidRPr="001C48DA">
        <w:rPr>
          <w:rFonts w:ascii="Times New Roman" w:eastAsia="Times New Roman" w:hAnsi="Times New Roman" w:cs="Times New Roman"/>
          <w:b/>
          <w:lang w:eastAsia="ru-RU"/>
        </w:rPr>
        <w:t>Таблица 2. Основные параметры и характеристики</w:t>
      </w:r>
      <w:r w:rsidRPr="001C48DA">
        <w:rPr>
          <w:rFonts w:ascii="Times New Roman" w:eastAsia="Times New Roman" w:hAnsi="Times New Roman" w:cs="Times New Roman"/>
          <w:lang w:eastAsia="ru-RU"/>
        </w:rPr>
        <w:t xml:space="preserve"> </w:t>
      </w:r>
      <w:r w:rsidRPr="001C48DA">
        <w:rPr>
          <w:rFonts w:ascii="Times New Roman" w:eastAsia="Times New Roman" w:hAnsi="Times New Roman" w:cs="Times New Roman"/>
          <w:b/>
          <w:lang w:eastAsia="ru-RU"/>
        </w:rPr>
        <w:t>выполняемых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1994"/>
        <w:gridCol w:w="7973"/>
      </w:tblGrid>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w:t>
            </w:r>
          </w:p>
        </w:tc>
        <w:tc>
          <w:tcPr>
            <w:tcW w:w="4701" w:type="pct"/>
            <w:gridSpan w:val="2"/>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Основные положения</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Заказчик</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color w:val="000000"/>
                <w:sz w:val="24"/>
                <w:szCs w:val="24"/>
                <w:shd w:val="clear" w:color="auto" w:fill="FFFFFF"/>
                <w:lang w:eastAsia="ru-RU"/>
              </w:rPr>
            </w:pPr>
            <w:r w:rsidRPr="001C48DA">
              <w:rPr>
                <w:rFonts w:ascii="Times New Roman" w:eastAsia="Times New Roman" w:hAnsi="Times New Roman" w:cs="Times New Roman"/>
                <w:sz w:val="24"/>
                <w:szCs w:val="24"/>
                <w:shd w:val="clear" w:color="auto" w:fill="FFFFFF"/>
                <w:lang w:eastAsia="ru-RU"/>
              </w:rPr>
              <w:t>АО «Судостроительный завод имени Б.Е. Бутомы»</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2</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Адрес Заказчика</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color w:val="000000"/>
                <w:sz w:val="24"/>
                <w:szCs w:val="24"/>
                <w:shd w:val="clear" w:color="auto" w:fill="FFFFFF"/>
                <w:lang w:eastAsia="ru-RU"/>
              </w:rPr>
            </w:pPr>
            <w:r w:rsidRPr="001C48DA">
              <w:rPr>
                <w:rFonts w:ascii="Times New Roman" w:eastAsia="Times New Roman" w:hAnsi="Times New Roman" w:cs="Times New Roman"/>
                <w:sz w:val="24"/>
                <w:szCs w:val="24"/>
                <w:lang w:eastAsia="ru-RU"/>
              </w:rPr>
              <w:t>Российская Федерация, Республика Крым, г. Керчь, ул. Танкистов, д.4.</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3</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Объект</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color w:val="000000"/>
                <w:sz w:val="24"/>
                <w:szCs w:val="24"/>
                <w:shd w:val="clear" w:color="auto" w:fill="FFFFFF"/>
                <w:lang w:eastAsia="ru-RU"/>
              </w:rPr>
            </w:pPr>
            <w:r w:rsidRPr="001C48DA">
              <w:rPr>
                <w:rFonts w:ascii="Times New Roman" w:eastAsia="Times New Roman" w:hAnsi="Times New Roman" w:cs="Times New Roman"/>
                <w:color w:val="000000"/>
                <w:sz w:val="24"/>
                <w:szCs w:val="24"/>
                <w:shd w:val="clear" w:color="auto" w:fill="FFFFFF"/>
                <w:lang w:eastAsia="ru-RU"/>
              </w:rPr>
              <w:t>ЗРУ-6кВ ГПП-1 г. Керчь</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4</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Адрес объекта</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Российская Федерация, Республика Крым, г. Керчь, ул. Танкистов, д.4.</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5</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Вид работ</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Капитальный ремонт ячеек №8, №11, №15 ЗРУ-6 кВ ГПП-1 г. Керчь</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6</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Основание</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Акт осмотра состояния ГПП-1, ГПП-2</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7</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Способ реализации</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Подрядный</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8</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Подрядная организация</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Определяется на конкурсной основе</w:t>
            </w:r>
          </w:p>
        </w:tc>
      </w:tr>
      <w:tr w:rsidR="00A22E78" w:rsidRPr="001C48DA" w:rsidTr="00A22E78">
        <w:trPr>
          <w:trHeight w:val="5"/>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9</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Требования к Исполнителю</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 xml:space="preserve">1. Исполнитель </w:t>
            </w:r>
            <w:r w:rsidRPr="001C48DA">
              <w:rPr>
                <w:rFonts w:ascii="Times New Roman" w:eastAsia="Times New Roman" w:hAnsi="Times New Roman" w:cs="Times New Roman"/>
                <w:sz w:val="24"/>
                <w:szCs w:val="24"/>
                <w:lang w:eastAsia="en-US"/>
              </w:rPr>
              <w:t xml:space="preserve">должен иметь опыт аналогичных поставок. Предоставить по требованию заказчика не менее 5-ти аналогичных Договоров за 2020-2022г., по каждому договору должны быть приложены акты выполненных работ. </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lastRenderedPageBreak/>
              <w:t>2. Исполнитель должен обеспечить персональное закрепление технического менеджера за Заказчиком для решения организационных вопросов.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3. Исполнитель обязуется принять отгруженные Заказчику вакуумные выключатели на гарантию и нести гарантийные обязательства на протяжении всего гарантийного срока, а также осуществлять постгарантийное обслуживание.</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4. Исполнителем может быть официальный представитель производителя вакуумных выключателей, либо аккредитованная у официального представителя производителя организация с предоставлением подтверждающих документов (свидетельств-подтверждений производителя).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5. Работы по установке и наладке аппаратуры релейной защиты должны выполняться специалистами Исполнителя, имеющими соответствующие квалификационные группы подтвержденные документально.</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lastRenderedPageBreak/>
              <w:t>10</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Этапы выполнения работ</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val="en-US" w:eastAsia="en-US"/>
              </w:rPr>
              <w:t>I</w:t>
            </w:r>
            <w:r w:rsidRPr="001C48DA">
              <w:rPr>
                <w:rFonts w:ascii="Times New Roman" w:eastAsia="Times New Roman" w:hAnsi="Times New Roman" w:cs="Times New Roman"/>
                <w:sz w:val="24"/>
                <w:szCs w:val="24"/>
                <w:lang w:eastAsia="en-US"/>
              </w:rPr>
              <w:t xml:space="preserve"> этап - разработка проектно-сметной документации.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val="en-US" w:eastAsia="en-US"/>
              </w:rPr>
              <w:t>II</w:t>
            </w:r>
            <w:r w:rsidRPr="001C48DA">
              <w:rPr>
                <w:rFonts w:ascii="Times New Roman" w:eastAsia="Times New Roman" w:hAnsi="Times New Roman" w:cs="Times New Roman"/>
                <w:sz w:val="24"/>
                <w:szCs w:val="24"/>
                <w:lang w:eastAsia="en-US"/>
              </w:rPr>
              <w:t xml:space="preserve"> этап - поставка оборудования.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val="en-US" w:eastAsia="en-US"/>
              </w:rPr>
              <w:t>III</w:t>
            </w:r>
            <w:r w:rsidRPr="001C48DA">
              <w:rPr>
                <w:rFonts w:ascii="Times New Roman" w:eastAsia="Times New Roman" w:hAnsi="Times New Roman" w:cs="Times New Roman"/>
                <w:sz w:val="24"/>
                <w:szCs w:val="24"/>
                <w:lang w:eastAsia="en-US"/>
              </w:rPr>
              <w:t xml:space="preserve"> этап - выполнение монтажных и пусконаладочных работ по заменяемому оборудованию. </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11</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Требования к документации</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При выполнении работ следует руководствоваться необходимыми для проектирования и сдачи работ нормативными и регламентирующими документами, действующими в РФ</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12</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Материалы и оборудование</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В соответствие с проектом, спецификацией и по согласованию с Заказчиком</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13</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Источник финансирования</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Финансирование осуществляется за счет средств федерального бюджета. </w:t>
            </w:r>
            <w:r w:rsidRPr="001C48DA">
              <w:rPr>
                <w:rFonts w:ascii="Times New Roman" w:eastAsia="Courier New" w:hAnsi="Times New Roman" w:cs="Times New Roman"/>
                <w:color w:val="000000"/>
                <w:sz w:val="24"/>
                <w:szCs w:val="24"/>
              </w:rPr>
              <w:t>С учетом Федерального закона «О государственном оборонном заказе» от 29.12.2012г. №275-ФЗ.</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14</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Виды и стадии выполнения работ</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line="240" w:lineRule="auto"/>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b/>
                <w:sz w:val="24"/>
                <w:szCs w:val="24"/>
                <w:lang w:eastAsia="en-US"/>
              </w:rPr>
              <w:t>1 Этап:</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1.1. Предпроектная проработка: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-Обследование  РУ-6 кВ;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-Определение объёмов необходимого капитального ремонта;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-Сбор необходимых данных выполняет </w:t>
            </w:r>
            <w:r w:rsidRPr="001C48DA">
              <w:rPr>
                <w:rFonts w:ascii="Times New Roman" w:eastAsia="Times New Roman" w:hAnsi="Times New Roman" w:cs="Times New Roman"/>
                <w:sz w:val="24"/>
                <w:szCs w:val="24"/>
                <w:lang w:eastAsia="ru-RU"/>
              </w:rPr>
              <w:t>Исполнитель</w:t>
            </w:r>
            <w:r w:rsidRPr="001C48DA">
              <w:rPr>
                <w:rFonts w:ascii="Times New Roman" w:eastAsia="Times New Roman" w:hAnsi="Times New Roman" w:cs="Times New Roman"/>
                <w:sz w:val="24"/>
                <w:szCs w:val="24"/>
                <w:lang w:eastAsia="en-US"/>
              </w:rPr>
              <w:t xml:space="preserve"> совместно с Заказчиком.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-Выбор оборудования по согласованию с Заказчиком;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-Иные действия, необходимые для выполнения работ по данному этапу.</w:t>
            </w:r>
          </w:p>
          <w:p w:rsidR="00A22E78" w:rsidRPr="001C48DA" w:rsidRDefault="00A22E78" w:rsidP="00A22E78">
            <w:pPr>
              <w:tabs>
                <w:tab w:val="left" w:pos="1120"/>
              </w:tabs>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1.2. Разработка рабочей документации и согласование оборудования;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-Согласование документации с заказчиком;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-Объем рабочей документации должен быть достаточным для выполнения монтажно-наладочных работ и содержать чертежи изделий и узлов;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1.3. Разработка сметной документации.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-Иные действия, необходимые для выполнения работ по данному этапу;</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Данный этап считается выполненным после передачи </w:t>
            </w:r>
            <w:r w:rsidRPr="001C48DA">
              <w:rPr>
                <w:rFonts w:ascii="Times New Roman" w:eastAsia="Times New Roman" w:hAnsi="Times New Roman" w:cs="Times New Roman"/>
                <w:sz w:val="24"/>
                <w:szCs w:val="24"/>
                <w:lang w:eastAsia="ru-RU"/>
              </w:rPr>
              <w:t>Исполнителем</w:t>
            </w:r>
            <w:r w:rsidRPr="001C48DA">
              <w:rPr>
                <w:rFonts w:ascii="Times New Roman" w:eastAsia="Times New Roman" w:hAnsi="Times New Roman" w:cs="Times New Roman"/>
                <w:sz w:val="24"/>
                <w:szCs w:val="24"/>
                <w:lang w:eastAsia="en-US"/>
              </w:rPr>
              <w:t xml:space="preserve"> Заказчику рабочей документации.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p>
          <w:p w:rsidR="00A22E78" w:rsidRPr="001C48DA" w:rsidRDefault="00A22E78" w:rsidP="00A22E78">
            <w:pPr>
              <w:suppressAutoHyphens w:val="0"/>
              <w:spacing w:after="0" w:line="240" w:lineRule="auto"/>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b/>
                <w:sz w:val="24"/>
                <w:szCs w:val="24"/>
                <w:lang w:eastAsia="en-US"/>
              </w:rPr>
              <w:t>2 Этап:</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Поставка оборудования.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p>
          <w:p w:rsidR="00A22E78" w:rsidRPr="001C48DA" w:rsidRDefault="00A22E78" w:rsidP="00A22E78">
            <w:pPr>
              <w:suppressAutoHyphens w:val="0"/>
              <w:spacing w:after="0" w:line="240" w:lineRule="auto"/>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b/>
                <w:sz w:val="24"/>
                <w:szCs w:val="24"/>
                <w:lang w:eastAsia="en-US"/>
              </w:rPr>
              <w:t>3 Этап:</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3.1. Монтажные работы.</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-Выполнить монтажные работы в соответствии с утвержденной Заказчиком сметной и рабочей документацией;</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-Монтажные и пусконаладочные работы в действующей электроустановке </w:t>
            </w:r>
            <w:r w:rsidRPr="001C48DA">
              <w:rPr>
                <w:rFonts w:ascii="Times New Roman" w:eastAsia="Times New Roman" w:hAnsi="Times New Roman" w:cs="Times New Roman"/>
                <w:sz w:val="24"/>
                <w:szCs w:val="24"/>
                <w:lang w:eastAsia="en-US"/>
              </w:rPr>
              <w:lastRenderedPageBreak/>
              <w:t xml:space="preserve">производить без нарушения технологического процесса в соответствии с разработанным </w:t>
            </w:r>
            <w:r w:rsidRPr="001C48DA">
              <w:rPr>
                <w:rFonts w:ascii="Times New Roman" w:eastAsia="Times New Roman" w:hAnsi="Times New Roman" w:cs="Times New Roman"/>
                <w:sz w:val="24"/>
                <w:szCs w:val="24"/>
                <w:lang w:eastAsia="ru-RU"/>
              </w:rPr>
              <w:t>Исполнителем</w:t>
            </w:r>
            <w:r w:rsidRPr="001C48DA">
              <w:rPr>
                <w:rFonts w:ascii="Times New Roman" w:eastAsia="Times New Roman" w:hAnsi="Times New Roman" w:cs="Times New Roman"/>
                <w:sz w:val="24"/>
                <w:szCs w:val="24"/>
                <w:lang w:eastAsia="en-US"/>
              </w:rPr>
              <w:t xml:space="preserve"> и утвержденным Заказчиком временным технологическим регламентом работы.</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-За свой счет устранить дефекты в выполненных работах, допущенные по вине </w:t>
            </w:r>
            <w:r w:rsidRPr="001C48DA">
              <w:rPr>
                <w:rFonts w:ascii="Times New Roman" w:eastAsia="Times New Roman" w:hAnsi="Times New Roman" w:cs="Times New Roman"/>
                <w:sz w:val="24"/>
                <w:szCs w:val="24"/>
                <w:lang w:eastAsia="ru-RU"/>
              </w:rPr>
              <w:t>Исполнителя</w:t>
            </w:r>
            <w:r w:rsidRPr="001C48DA">
              <w:rPr>
                <w:rFonts w:ascii="Times New Roman" w:eastAsia="Times New Roman" w:hAnsi="Times New Roman" w:cs="Times New Roman"/>
                <w:sz w:val="24"/>
                <w:szCs w:val="24"/>
                <w:lang w:eastAsia="en-US"/>
              </w:rPr>
              <w:t xml:space="preserve"> и обнаруженные в течение гарантийного срока;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-Иные действия, необходимые для выполнения работ по данному этапу.</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3.2. Пусконаладочные работы.</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-Произвести пусконаладочные работы по поставленному, смонтированному и, при необходимости, по существующему оборудованию.</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Сдать материалы исполнительной документации и полный пакет документации по поставленному и смонтированному оборудованию;</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Иные действия, необходимые для выполнения работ по данному этапу.</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Данный этап считается выполненным после передачи Заказчику </w:t>
            </w:r>
            <w:r w:rsidRPr="001C48DA">
              <w:rPr>
                <w:rFonts w:ascii="Times New Roman" w:eastAsia="Times New Roman" w:hAnsi="Times New Roman" w:cs="Times New Roman"/>
                <w:sz w:val="24"/>
                <w:szCs w:val="24"/>
                <w:lang w:eastAsia="ru-RU"/>
              </w:rPr>
              <w:t>Исполнителем</w:t>
            </w:r>
            <w:r w:rsidRPr="001C48DA">
              <w:rPr>
                <w:rFonts w:ascii="Times New Roman" w:eastAsia="Times New Roman" w:hAnsi="Times New Roman" w:cs="Times New Roman"/>
                <w:sz w:val="24"/>
                <w:szCs w:val="24"/>
                <w:lang w:eastAsia="en-US"/>
              </w:rPr>
              <w:t xml:space="preserve"> материалов исполнительной документации и полного пакета документации по поставленному и смонтированному оборудованию, а также предоставления Заказчику отлаженного и работающего оборудования.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К каждому из последующих этапов выполнения работ </w:t>
            </w:r>
            <w:r w:rsidRPr="001C48DA">
              <w:rPr>
                <w:rFonts w:ascii="Times New Roman" w:eastAsia="Times New Roman" w:hAnsi="Times New Roman" w:cs="Times New Roman"/>
                <w:sz w:val="24"/>
                <w:szCs w:val="24"/>
                <w:lang w:eastAsia="ru-RU"/>
              </w:rPr>
              <w:t>Исполнитель</w:t>
            </w:r>
            <w:r w:rsidRPr="001C48DA">
              <w:rPr>
                <w:rFonts w:ascii="Times New Roman" w:eastAsia="Times New Roman" w:hAnsi="Times New Roman" w:cs="Times New Roman"/>
                <w:sz w:val="24"/>
                <w:szCs w:val="24"/>
                <w:lang w:eastAsia="en-US"/>
              </w:rPr>
              <w:t xml:space="preserve"> приступает только с согласия Заказчика.</w:t>
            </w: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lastRenderedPageBreak/>
              <w:t>15</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Наименование поставляемого оборудования </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before="100" w:beforeAutospacing="1" w:after="0" w:line="240" w:lineRule="auto"/>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sz w:val="24"/>
                <w:szCs w:val="24"/>
                <w:lang w:eastAsia="ru-RU"/>
              </w:rPr>
              <w:t xml:space="preserve">Вакуумный выключатель ВВУ  </w:t>
            </w:r>
            <w:r w:rsidRPr="001C48DA">
              <w:rPr>
                <w:rFonts w:ascii="Times New Roman" w:eastAsia="Times New Roman" w:hAnsi="Times New Roman" w:cs="Times New Roman"/>
                <w:b/>
                <w:bCs/>
                <w:sz w:val="24"/>
                <w:szCs w:val="24"/>
                <w:lang w:eastAsia="ru-RU"/>
              </w:rPr>
              <w:t>в комплекте с модулем управления и микропроцессорной защитой (МПЗ)</w:t>
            </w:r>
          </w:p>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u w:val="single"/>
                <w:lang w:eastAsia="en-US"/>
              </w:rPr>
            </w:pPr>
          </w:p>
        </w:tc>
      </w:tr>
      <w:tr w:rsidR="00A22E78" w:rsidRPr="001C48DA" w:rsidTr="00A22E78">
        <w:trPr>
          <w:trHeight w:val="1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16</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Количество</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jc w:val="both"/>
              <w:outlineLvl w:val="0"/>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b/>
                <w:sz w:val="24"/>
                <w:szCs w:val="24"/>
                <w:lang w:eastAsia="en-US"/>
              </w:rPr>
              <w:t>3 комплекта</w:t>
            </w:r>
          </w:p>
        </w:tc>
      </w:tr>
      <w:tr w:rsidR="00A22E78" w:rsidRPr="001C48DA" w:rsidTr="00A22E78">
        <w:trPr>
          <w:trHeight w:val="85"/>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17</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Основные требования к технологическим и конструктивным решениям, применяемым материалам, оборудованию и приборам</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Проектом предусмотреть:</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1. Разработку электрических схем вторичных соединений ячеек РУ-6кВ, с привязкой существующей схемы к новым вакуумным выключателям.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2. Выполнение капитального ремонта ячеек РУ 6 кВ в объёме:</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замена масляных выключателей ВМП-10 на вакуумные с адаптацией в существующий шкаф.</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привязка вакуумного выключателя к микропроцессорной защите (МПЗ).</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Установка силовых трансформаторов тока.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Установка трансформаторов тока нулевой последовательности.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Установка силовых контактов ножи-губки.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Установка изоляторов.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возможность удаленного мониторинга параметров и диагностики состояния ячеек и МПЗ с организацией АРМ для оператора.</w:t>
            </w:r>
          </w:p>
          <w:p w:rsidR="00A22E78" w:rsidRPr="001C48DA" w:rsidRDefault="00A22E78" w:rsidP="00A22E78">
            <w:pPr>
              <w:suppressAutoHyphens w:val="0"/>
              <w:spacing w:after="120" w:line="240" w:lineRule="auto"/>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sz w:val="24"/>
                <w:szCs w:val="24"/>
                <w:lang w:eastAsia="en-US"/>
              </w:rPr>
              <w:t>3</w:t>
            </w:r>
            <w:r w:rsidRPr="001C48DA">
              <w:rPr>
                <w:rFonts w:ascii="Times New Roman" w:eastAsia="Times New Roman" w:hAnsi="Times New Roman" w:cs="Times New Roman"/>
                <w:b/>
                <w:sz w:val="24"/>
                <w:szCs w:val="24"/>
                <w:lang w:eastAsia="en-US"/>
              </w:rPr>
              <w:t>. Предусмотреть поэтапный вывод оборудования в ремонт и поэтапный ввод в работу без остановки общего технологического процесса.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u w:val="single"/>
                <w:lang w:eastAsia="en-US"/>
              </w:rPr>
            </w:pPr>
            <w:r w:rsidRPr="001C48DA">
              <w:rPr>
                <w:rFonts w:ascii="Times New Roman" w:eastAsia="Times New Roman" w:hAnsi="Times New Roman" w:cs="Times New Roman"/>
                <w:sz w:val="24"/>
                <w:szCs w:val="24"/>
                <w:u w:val="single"/>
                <w:lang w:eastAsia="en-US"/>
              </w:rPr>
              <w:t>Технические требования к вакуумным выключателям: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Продукция должна быть новой, прежде не используемой, не восстановленной, производства не ранее </w:t>
            </w:r>
            <w:r w:rsidRPr="001C48DA">
              <w:rPr>
                <w:rFonts w:ascii="Times New Roman" w:eastAsia="Times New Roman" w:hAnsi="Times New Roman" w:cs="Times New Roman"/>
                <w:sz w:val="24"/>
                <w:szCs w:val="24"/>
                <w:lang w:val="en-US" w:eastAsia="en-US"/>
              </w:rPr>
              <w:t>II</w:t>
            </w:r>
            <w:r w:rsidRPr="001C48DA">
              <w:rPr>
                <w:rFonts w:ascii="Times New Roman" w:eastAsia="Times New Roman" w:hAnsi="Times New Roman" w:cs="Times New Roman"/>
                <w:sz w:val="24"/>
                <w:szCs w:val="24"/>
                <w:lang w:eastAsia="en-US"/>
              </w:rPr>
              <w:t xml:space="preserve"> квартала 2022 года и по своим техническим характеристикам соответствовать требованиям настоящего пункта.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Продукция должна изготавливаться в заводских условиях, в соответствии с ГОСТ, ТУ и иметь сертификаты соответствия (Росстандарта России).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Товар должен отгружаться Исполнителем в таре и упаковке, предусмотренной заводом-изготовителем. Товар, упаковка, тара должны быть надлежащим образом промаркированы. </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Стоимость тары, упаковки включается в стоимость продукции. Тара </w:t>
            </w:r>
            <w:r w:rsidRPr="001C48DA">
              <w:rPr>
                <w:rFonts w:ascii="Times New Roman" w:eastAsia="Times New Roman" w:hAnsi="Times New Roman" w:cs="Times New Roman"/>
                <w:sz w:val="24"/>
                <w:szCs w:val="24"/>
                <w:lang w:eastAsia="en-US"/>
              </w:rPr>
              <w:lastRenderedPageBreak/>
              <w:t>возврату не подлежит.</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Поставляемое электрооборудование должно обеспечивать непрерывную работу основного оборудования в течение 24 часов в сутки не менее 360 суток в год.</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Гарантийный срок на вакуумные выключатели должен составлять не менее 120 месяцев с даты отгрузки (гарантийный срок на оборудование указывается в паспорте).</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Наличие положительного опыта работы выключателей более 15 лет с начала выпуска, как на промышленных предприятиях, так и на объектах электросетевого хозяйства сетевых компаний РФ.</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Пофазные электромагнитные приводы выключателя, выполненные по принципу «магнитная защелка», механически связанные общим валом.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Внешний корпус выключателя должен быть выполнен из однородного прозрачного материала типа </w:t>
            </w:r>
            <w:r w:rsidRPr="001C48DA">
              <w:rPr>
                <w:rFonts w:ascii="Times New Roman" w:eastAsia="Times New Roman" w:hAnsi="Times New Roman" w:cs="Times New Roman"/>
                <w:color w:val="000000"/>
                <w:sz w:val="24"/>
                <w:szCs w:val="24"/>
                <w:lang w:eastAsia="en-US"/>
              </w:rPr>
              <w:t>«лексан</w:t>
            </w:r>
            <w:r w:rsidRPr="001C48DA">
              <w:rPr>
                <w:rFonts w:ascii="Times New Roman" w:eastAsia="Times New Roman" w:hAnsi="Times New Roman" w:cs="Times New Roman"/>
                <w:sz w:val="24"/>
                <w:szCs w:val="24"/>
                <w:lang w:eastAsia="en-US"/>
              </w:rPr>
              <w:t>» (или иного изоляционного материала не уступающего по своим характеристикам данному материалу), исключающий прямое прикосновение к вакуумной дугогасительной камере (ВДК) и попадание в неё пыли, а также наличие уплотнений ВДК для выключателей до 1000 А</w:t>
            </w:r>
          </w:p>
          <w:p w:rsidR="00A22E78" w:rsidRPr="001C48DA" w:rsidRDefault="00A22E78" w:rsidP="00A22E78">
            <w:pPr>
              <w:suppressAutoHyphens w:val="0"/>
              <w:spacing w:after="0" w:line="240" w:lineRule="auto"/>
              <w:rPr>
                <w:rFonts w:ascii="Times New Roman" w:eastAsia="Times New Roman" w:hAnsi="Times New Roman" w:cs="Times New Roman"/>
                <w:b/>
                <w:sz w:val="24"/>
                <w:szCs w:val="24"/>
                <w:lang w:eastAsia="en-US"/>
              </w:rPr>
            </w:pPr>
            <w:r w:rsidRPr="001C48DA">
              <w:rPr>
                <w:rFonts w:ascii="Times New Roman" w:eastAsia="Times New Roman" w:hAnsi="Times New Roman" w:cs="Times New Roman"/>
                <w:b/>
                <w:sz w:val="24"/>
                <w:szCs w:val="24"/>
                <w:lang w:eastAsia="en-US"/>
              </w:rPr>
              <w:t>Основные технические характеристики вакуумного выключателя: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Номинальное напряжение – 10 кВ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Номинальный ток – не менее 630 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Номинальный ток отключения – не менее 20 кА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Электрическое сопротивление главных цепей – не более 40 мОм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Полное время включения с учетом модуля управления – не более 70 мс</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Полное время отключения с учетом модуля управления – не более 55 мс</w:t>
            </w:r>
          </w:p>
          <w:p w:rsidR="00A22E78" w:rsidRPr="001C48DA" w:rsidRDefault="00A22E78" w:rsidP="00A22E78">
            <w:pPr>
              <w:suppressAutoHyphens w:val="0"/>
              <w:spacing w:after="0"/>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Разновременность замыкания контактов – не более 4 мс</w:t>
            </w:r>
          </w:p>
          <w:p w:rsidR="00A22E78" w:rsidRPr="001C48DA" w:rsidRDefault="00A22E78" w:rsidP="00A22E78">
            <w:pPr>
              <w:suppressAutoHyphens w:val="0"/>
              <w:spacing w:after="0"/>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Разновременность размыкания контактов - не более 3 мс</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Потребление выключателя по цепям оперативного тока в любых режимах не более 70 ВА.</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Ресурс циклов «Включение-Отключение» вакуумного выключателя при номинальном токе – не менее  50 000 циклов.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-Масса коммутационного модуля выключателя на 1000 А не более 40 кг.</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Рабочие значения температуры окружающего воздуха в диапазоне от минус 45 °С до плюс 55 °С.</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Климатическое исполнение и категория размещения У3.</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Технология изготовления ВДК - безштенгельная.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Форма контактов ВДК должна обеспечивать образование между подвижным и неподвижным контактом аксиального магнитного поля (поля, направление которого перпендикулярно поверхности контактов) в момент размыкания силовой цепи.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Сильфон ВДК сварной конструкции должен быть изготовлен из металла, неподверженного коррозии. </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Структура выключателя – модульная (раздельные высоковольтный модуль и модуль управления).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Модуль управления должен иметь функцию самодиагностики с индикацией как внутренних, так и внешних неисправностей, и контроля оперативного питания, в том числе целостности привода коммутационного модуля в случае короткого замыкания или обрыва его цепей. Модуль управления выключателем определяет и осуществляет индикацию аварийных событий индикатором «Авария».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Возможность управления выключателем по «сухим» контактам.</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xml:space="preserve">- Возможность привязки выключателя к существующим схемам РЗиА на </w:t>
            </w:r>
            <w:r w:rsidRPr="001C48DA">
              <w:rPr>
                <w:rFonts w:ascii="Times New Roman" w:eastAsia="Times New Roman" w:hAnsi="Times New Roman" w:cs="Times New Roman"/>
                <w:sz w:val="24"/>
                <w:szCs w:val="24"/>
                <w:lang w:eastAsia="en-US"/>
              </w:rPr>
              <w:lastRenderedPageBreak/>
              <w:t>базе электромеханических реле.</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Срок эксплуатации вакуумного выключателя – не менее 30 лет. Выключатели не должны требовать смазки, выполнения регулировочных работ, а также проведения средних и капитальных ремонтов в течение всего срока эксплуатации. В процессе эксплуатации могут быть выполнены следующие работы: проверка общего состояния выключателя посредством внешнего осмотра, проверка работоспособности, измерение сопротивления главной цепи; испытание изоляции одноминутным напряжением промышленной частоты, протирка изоляционных элементов выключателя. Указанные работы необходимо выполнять в соответствии с рекомендациями производителя.</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Наличие типовых комплектов адаптации коммутационного модуля в ячейки различных конструкций с инструкциями по монтажу и эксплуатации.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Предусмотреть гибкую связь блокировочной системы, ручного отключения и указателя положения главных контактов с коммутационным модулем посредством тросов.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Предусмотреть в ячейке возможность проверки отсутствия напряжения на нижних контактах (в месте присоединения кабеля) и установку стационарных заземляющих ножей.</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Возможность применения как постоянного, так и переменного оперативного питания в диапазоне от 85 до 265 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Кинематическая система выключателя должна быть соосной и вертикально направленной без применения нагруженных шарнирных и рычажных звеньев.</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Применение для подключения вторичных цепей пружинных клеммников и соединительных разъемов типа Wago.</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Стойкость к внешним механическим воздействующим факторам - не ниже М6 по ГОСТ 17516.1-90.</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 Возможность работы коммутационного модуля в любом пространственном положении.</w:t>
            </w:r>
          </w:p>
          <w:p w:rsidR="00A22E78" w:rsidRPr="001C48DA" w:rsidRDefault="00A22E78" w:rsidP="00A22E78">
            <w:pPr>
              <w:suppressAutoHyphens w:val="0"/>
              <w:spacing w:after="0" w:line="240" w:lineRule="auto"/>
              <w:rPr>
                <w:rFonts w:ascii="Times New Roman" w:eastAsia="Times New Roman" w:hAnsi="Times New Roman" w:cs="Times New Roman"/>
                <w:sz w:val="24"/>
                <w:szCs w:val="24"/>
                <w:lang w:eastAsia="en-US"/>
              </w:rPr>
            </w:pPr>
          </w:p>
        </w:tc>
      </w:tr>
      <w:tr w:rsidR="00A22E78" w:rsidRPr="001C48DA" w:rsidTr="00A22E78">
        <w:trPr>
          <w:trHeight w:val="484"/>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lastRenderedPageBreak/>
              <w:t>18</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color w:val="000000"/>
                <w:sz w:val="24"/>
                <w:szCs w:val="24"/>
                <w:lang w:eastAsia="ru-RU"/>
              </w:rPr>
              <w:t>Гарантийные обязательства</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1. Гарантии качества распространяются на все поставляемое оборудование, согласно паспортам заводов изготовителей.</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2. 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проектных параметров и режимов) и работ равен 120 (сто двадцати) месяцам с даты подписания сторонами акта о приёмке выполненных работ (КС-2), гарантийный срок на вакуумные выключатели не менее 10 (десяти) лет.</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3. Если в период гарантийного срока обнаружатся дефекты смонтированного оборудования, то Исполнитель обязан их устранить за свой счет и в согласованные с Заказчиком сроки, но не позднее 15-ти рабочих дней с момента подачи заявки Заказчиком.</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При выявлении дефекта Исполнитель должен:</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 обеспечить Заказчика необходимым техническими консультациями не позднее 3 (трёх) суток со дня обращения последнего с использованием любых доступных видов связи;</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 xml:space="preserve">- </w:t>
            </w:r>
            <w:r w:rsidRPr="001C48DA">
              <w:rPr>
                <w:rFonts w:ascii="Times New Roman" w:eastAsia="Times New Roman" w:hAnsi="Times New Roman" w:cs="Times New Roman"/>
                <w:color w:val="000000"/>
                <w:sz w:val="24"/>
                <w:szCs w:val="24"/>
                <w:lang w:eastAsia="en-US"/>
              </w:rPr>
              <w:t>выполнить все необходимые мероприятия по определению причины возникшего дефекта и представить Заказчику соответствующее заключение в течение 10 (Десяти) рабочих дней</w:t>
            </w:r>
            <w:r w:rsidRPr="001C48DA">
              <w:rPr>
                <w:rFonts w:ascii="Times New Roman" w:eastAsia="Times New Roman" w:hAnsi="Times New Roman" w:cs="Times New Roman"/>
                <w:color w:val="000000"/>
                <w:sz w:val="24"/>
                <w:szCs w:val="24"/>
                <w:lang w:eastAsia="ru-RU"/>
              </w:rPr>
              <w:t>.</w:t>
            </w:r>
          </w:p>
          <w:p w:rsidR="00A22E78" w:rsidRPr="001C48DA" w:rsidRDefault="00A22E78" w:rsidP="00A22E78">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C48DA">
              <w:rPr>
                <w:rFonts w:ascii="Times New Roman" w:eastAsia="Times New Roman" w:hAnsi="Times New Roman" w:cs="Times New Roman"/>
                <w:color w:val="000000"/>
                <w:sz w:val="24"/>
                <w:szCs w:val="24"/>
                <w:lang w:eastAsia="ru-RU"/>
              </w:rPr>
              <w:t xml:space="preserve">4. Для участия в составлении акта, фиксирующего дефекты, согласования </w:t>
            </w:r>
            <w:r w:rsidRPr="001C48DA">
              <w:rPr>
                <w:rFonts w:ascii="Times New Roman" w:eastAsia="Times New Roman" w:hAnsi="Times New Roman" w:cs="Times New Roman"/>
                <w:color w:val="000000"/>
                <w:sz w:val="24"/>
                <w:szCs w:val="24"/>
                <w:lang w:eastAsia="ru-RU"/>
              </w:rPr>
              <w:lastRenderedPageBreak/>
              <w:t xml:space="preserve">порядка и сроков их устранения Исполнитель обязан направить своего представителя не позднее 10 (десяти) дней со дня получения письменного извещения Заказчика. </w:t>
            </w:r>
          </w:p>
        </w:tc>
      </w:tr>
      <w:tr w:rsidR="00A22E78" w:rsidRPr="001C48DA" w:rsidTr="00A22E78">
        <w:trPr>
          <w:trHeight w:val="42"/>
        </w:trPr>
        <w:tc>
          <w:tcPr>
            <w:tcW w:w="29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suppressAutoHyphens w:val="0"/>
              <w:spacing w:after="0"/>
              <w:jc w:val="center"/>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lastRenderedPageBreak/>
              <w:t>19</w:t>
            </w:r>
          </w:p>
        </w:tc>
        <w:tc>
          <w:tcPr>
            <w:tcW w:w="909"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eastAsia="en-US"/>
              </w:rPr>
              <w:t>Срок выполнения работ</w:t>
            </w:r>
          </w:p>
        </w:tc>
        <w:tc>
          <w:tcPr>
            <w:tcW w:w="3792" w:type="pct"/>
            <w:tcBorders>
              <w:top w:val="single" w:sz="4" w:space="0" w:color="auto"/>
              <w:left w:val="single" w:sz="4" w:space="0" w:color="auto"/>
              <w:bottom w:val="single" w:sz="4" w:space="0" w:color="auto"/>
              <w:right w:val="single" w:sz="4" w:space="0" w:color="auto"/>
            </w:tcBorders>
          </w:tcPr>
          <w:p w:rsidR="00A22E78" w:rsidRPr="001C48DA" w:rsidRDefault="00A22E78" w:rsidP="00A22E78">
            <w:pPr>
              <w:keepNext/>
              <w:suppressAutoHyphens w:val="0"/>
              <w:spacing w:after="0" w:line="240" w:lineRule="auto"/>
              <w:outlineLvl w:val="0"/>
              <w:rPr>
                <w:rFonts w:ascii="Times New Roman" w:eastAsia="Times New Roman" w:hAnsi="Times New Roman" w:cs="Times New Roman"/>
                <w:sz w:val="24"/>
                <w:szCs w:val="24"/>
                <w:lang w:eastAsia="en-US"/>
              </w:rPr>
            </w:pPr>
            <w:r w:rsidRPr="001C48DA">
              <w:rPr>
                <w:rFonts w:ascii="Times New Roman" w:eastAsia="Times New Roman" w:hAnsi="Times New Roman" w:cs="Times New Roman"/>
                <w:sz w:val="24"/>
                <w:szCs w:val="24"/>
                <w:lang w:val="en-US" w:eastAsia="en-US"/>
              </w:rPr>
              <w:t xml:space="preserve">I </w:t>
            </w:r>
            <w:r w:rsidRPr="001C48DA">
              <w:rPr>
                <w:rFonts w:ascii="Times New Roman" w:eastAsia="Times New Roman" w:hAnsi="Times New Roman" w:cs="Times New Roman"/>
                <w:sz w:val="24"/>
                <w:szCs w:val="24"/>
                <w:lang w:eastAsia="en-US"/>
              </w:rPr>
              <w:t>квартал 2023 г.</w:t>
            </w:r>
          </w:p>
        </w:tc>
      </w:tr>
    </w:tbl>
    <w:p w:rsidR="00A22E78" w:rsidRPr="001C48DA" w:rsidRDefault="00A22E78" w:rsidP="00A22E78">
      <w:pPr>
        <w:tabs>
          <w:tab w:val="left" w:pos="142"/>
        </w:tabs>
        <w:spacing w:after="0" w:line="100" w:lineRule="atLeast"/>
        <w:jc w:val="both"/>
        <w:rPr>
          <w:rFonts w:ascii="Times New Roman" w:hAnsi="Times New Roman" w:cs="Times New Roman"/>
          <w:b/>
          <w:sz w:val="24"/>
          <w:szCs w:val="24"/>
          <w:lang w:eastAsia="en-US"/>
        </w:rPr>
      </w:pPr>
    </w:p>
    <w:p w:rsidR="00A22E78" w:rsidRPr="001C48DA" w:rsidRDefault="00A22E78" w:rsidP="00A22E78">
      <w:pPr>
        <w:numPr>
          <w:ilvl w:val="0"/>
          <w:numId w:val="11"/>
        </w:numPr>
        <w:tabs>
          <w:tab w:val="left" w:pos="142"/>
        </w:tabs>
        <w:suppressAutoHyphens w:val="0"/>
        <w:spacing w:after="0" w:line="100" w:lineRule="atLeast"/>
        <w:ind w:left="0" w:firstLine="0"/>
        <w:jc w:val="both"/>
        <w:rPr>
          <w:rFonts w:ascii="Times New Roman" w:hAnsi="Times New Roman" w:cs="Times New Roman"/>
          <w:b/>
          <w:sz w:val="24"/>
          <w:szCs w:val="24"/>
          <w:lang w:eastAsia="en-US"/>
        </w:rPr>
      </w:pPr>
      <w:r w:rsidRPr="001C48DA">
        <w:rPr>
          <w:rFonts w:ascii="Times New Roman" w:eastAsia="Times New Roman" w:hAnsi="Times New Roman" w:cs="Times New Roman"/>
          <w:b/>
          <w:sz w:val="24"/>
          <w:szCs w:val="24"/>
          <w:lang w:eastAsia="ru-RU"/>
        </w:rPr>
        <w:t>Требования к качеству продукции:</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hAnsi="Times New Roman" w:cs="Times New Roman"/>
          <w:b/>
          <w:sz w:val="24"/>
          <w:szCs w:val="24"/>
          <w:lang w:eastAsia="en-US"/>
        </w:rPr>
      </w:pPr>
      <w:r w:rsidRPr="001C48DA">
        <w:rPr>
          <w:rFonts w:ascii="Times New Roman" w:eastAsia="Times New Roman" w:hAnsi="Times New Roman" w:cs="Times New Roman"/>
          <w:sz w:val="24"/>
          <w:szCs w:val="24"/>
          <w:lang w:eastAsia="ru-RU"/>
        </w:rPr>
        <w:t>До отправки продукции Заказчику должны быть проведены на заводе приемо-сдаточные испытания. Результаты испытаний должны быть отражены в паспорте на продукцию.</w:t>
      </w:r>
    </w:p>
    <w:p w:rsidR="00A22E78" w:rsidRPr="001C48DA" w:rsidRDefault="00A22E78" w:rsidP="00A22E78">
      <w:pPr>
        <w:tabs>
          <w:tab w:val="left" w:pos="142"/>
        </w:tabs>
        <w:spacing w:after="0" w:line="100" w:lineRule="atLeast"/>
        <w:jc w:val="both"/>
        <w:rPr>
          <w:rFonts w:ascii="Times New Roman" w:hAnsi="Times New Roman" w:cs="Times New Roman"/>
          <w:b/>
          <w:sz w:val="24"/>
          <w:szCs w:val="24"/>
          <w:lang w:eastAsia="en-US"/>
        </w:rPr>
      </w:pPr>
      <w:r w:rsidRPr="001C48DA">
        <w:rPr>
          <w:rFonts w:ascii="Times New Roman" w:eastAsia="Times New Roman" w:hAnsi="Times New Roman" w:cs="Times New Roman"/>
          <w:sz w:val="24"/>
          <w:szCs w:val="24"/>
          <w:lang w:eastAsia="ru-RU"/>
        </w:rPr>
        <w:t>После проведения на заводе приемо-сдаточных испытаний основание привода выключателя привода закрывается крышкой и пломбируется.</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hAnsi="Times New Roman" w:cs="Times New Roman"/>
          <w:b/>
          <w:sz w:val="24"/>
          <w:szCs w:val="24"/>
          <w:lang w:eastAsia="en-US"/>
        </w:rPr>
      </w:pPr>
      <w:r w:rsidRPr="001C48DA">
        <w:rPr>
          <w:rFonts w:ascii="Times New Roman" w:eastAsia="Times New Roman" w:hAnsi="Times New Roman" w:cs="Times New Roman"/>
          <w:sz w:val="24"/>
          <w:szCs w:val="24"/>
          <w:lang w:eastAsia="ru-RU"/>
        </w:rPr>
        <w:t>Требования к безопасности продукции: в соответствии с требованиями, установленными законодательством РФ к безопасности товара, являющегося предметом заказа.</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hAnsi="Times New Roman" w:cs="Times New Roman"/>
          <w:b/>
          <w:sz w:val="24"/>
          <w:szCs w:val="24"/>
          <w:lang w:eastAsia="en-US"/>
        </w:rPr>
      </w:pPr>
      <w:r w:rsidRPr="001C48DA">
        <w:rPr>
          <w:rFonts w:ascii="Times New Roman" w:eastAsia="Times New Roman" w:hAnsi="Times New Roman" w:cs="Times New Roman"/>
          <w:sz w:val="24"/>
          <w:szCs w:val="24"/>
          <w:lang w:eastAsia="ru-RU"/>
        </w:rPr>
        <w:t>Требования к качеству продукции: качество продукции должно соответствовать требованиям сертификатов соответствия установленного образца.</w:t>
      </w:r>
    </w:p>
    <w:p w:rsidR="00A22E78" w:rsidRPr="001C48DA" w:rsidRDefault="00A22E78" w:rsidP="00A22E78">
      <w:pPr>
        <w:tabs>
          <w:tab w:val="left" w:pos="142"/>
        </w:tabs>
        <w:spacing w:after="0" w:line="100" w:lineRule="atLeast"/>
        <w:jc w:val="both"/>
        <w:rPr>
          <w:rFonts w:ascii="Times New Roman" w:eastAsia="Times New Roman" w:hAnsi="Times New Roman" w:cs="Times New Roman"/>
          <w:sz w:val="24"/>
          <w:szCs w:val="24"/>
          <w:lang w:eastAsia="ru-RU"/>
        </w:rPr>
      </w:pPr>
    </w:p>
    <w:p w:rsidR="00A22E78" w:rsidRPr="001C48DA" w:rsidRDefault="00A22E78" w:rsidP="00A22E78">
      <w:pPr>
        <w:numPr>
          <w:ilvl w:val="0"/>
          <w:numId w:val="11"/>
        </w:numPr>
        <w:tabs>
          <w:tab w:val="left" w:pos="142"/>
        </w:tabs>
        <w:suppressAutoHyphens w:val="0"/>
        <w:spacing w:after="0" w:line="100" w:lineRule="atLeast"/>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b/>
          <w:sz w:val="24"/>
          <w:szCs w:val="24"/>
          <w:lang w:eastAsia="ru-RU"/>
        </w:rPr>
        <w:t>Условия, место и срок поставки продукции (выполнения работ):</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sz w:val="24"/>
          <w:szCs w:val="24"/>
          <w:lang w:eastAsia="ru-RU"/>
        </w:rPr>
        <w:t xml:space="preserve">Поставка продукции должна осуществляться в соответствии с Техническим заданием, </w:t>
      </w:r>
      <w:r w:rsidRPr="001C48DA">
        <w:rPr>
          <w:rFonts w:ascii="Times New Roman" w:eastAsia="Times New Roman" w:hAnsi="Times New Roman" w:cs="Times New Roman"/>
          <w:sz w:val="24"/>
          <w:szCs w:val="24"/>
          <w:lang w:eastAsia="ru-RU"/>
        </w:rPr>
        <w:tab/>
        <w:t>условиями Договора, требованиями действующего законодательства Российской Федерации.</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sz w:val="24"/>
          <w:szCs w:val="24"/>
          <w:lang w:eastAsia="ru-RU"/>
        </w:rPr>
        <w:t xml:space="preserve">Условия поставки: Поставка продукции производится силами и средствами Исполнителя в </w:t>
      </w:r>
      <w:r w:rsidRPr="001C48DA">
        <w:rPr>
          <w:rFonts w:ascii="Times New Roman" w:eastAsia="Times New Roman" w:hAnsi="Times New Roman" w:cs="Times New Roman"/>
          <w:sz w:val="24"/>
          <w:szCs w:val="24"/>
          <w:lang w:eastAsia="ru-RU"/>
        </w:rPr>
        <w:tab/>
        <w:t xml:space="preserve">соответствии с условиями Договора. </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sz w:val="24"/>
          <w:szCs w:val="24"/>
          <w:lang w:eastAsia="ru-RU"/>
        </w:rPr>
        <w:t>Место доставки продукции: Республика Крым, г. Керчь, ул. Танкистов, д.4.</w:t>
      </w:r>
    </w:p>
    <w:p w:rsidR="00A22E78" w:rsidRPr="001C48DA" w:rsidRDefault="00A22E78" w:rsidP="00A22E78">
      <w:pPr>
        <w:numPr>
          <w:ilvl w:val="1"/>
          <w:numId w:val="11"/>
        </w:numPr>
        <w:tabs>
          <w:tab w:val="left" w:pos="142"/>
        </w:tabs>
        <w:suppressAutoHyphens w:val="0"/>
        <w:spacing w:after="0" w:line="100" w:lineRule="atLeast"/>
        <w:ind w:left="0" w:firstLine="0"/>
        <w:jc w:val="both"/>
        <w:rPr>
          <w:rFonts w:ascii="Times New Roman" w:eastAsia="Times New Roman" w:hAnsi="Times New Roman" w:cs="Times New Roman"/>
          <w:b/>
          <w:sz w:val="24"/>
          <w:szCs w:val="24"/>
          <w:lang w:eastAsia="ru-RU"/>
        </w:rPr>
      </w:pPr>
      <w:r w:rsidRPr="001C48DA">
        <w:rPr>
          <w:rFonts w:ascii="Times New Roman" w:eastAsia="Times New Roman" w:hAnsi="Times New Roman" w:cs="Times New Roman"/>
          <w:sz w:val="24"/>
          <w:szCs w:val="24"/>
          <w:lang w:eastAsia="ru-RU"/>
        </w:rPr>
        <w:t>Срок поставки и выполнения работ: 90 календарных дней с даты подписания Договора, оплаты аванса.</w:t>
      </w:r>
    </w:p>
    <w:p w:rsidR="00A22E78" w:rsidRPr="001C48DA" w:rsidRDefault="00A22E78" w:rsidP="00A22E78">
      <w:pPr>
        <w:tabs>
          <w:tab w:val="left" w:pos="567"/>
        </w:tabs>
        <w:suppressAutoHyphens w:val="0"/>
        <w:overflowPunct w:val="0"/>
        <w:autoSpaceDE w:val="0"/>
        <w:autoSpaceDN w:val="0"/>
        <w:adjustRightInd w:val="0"/>
        <w:spacing w:after="0" w:line="240" w:lineRule="auto"/>
        <w:jc w:val="both"/>
        <w:textAlignment w:val="baseline"/>
        <w:rPr>
          <w:rFonts w:ascii="Times New Roman" w:hAnsi="Times New Roman" w:cs="Times New Roman"/>
          <w:b/>
          <w:sz w:val="24"/>
          <w:szCs w:val="24"/>
          <w:lang w:eastAsia="en-US"/>
        </w:rPr>
      </w:pPr>
    </w:p>
    <w:p w:rsidR="00A22E78" w:rsidRPr="001C48DA" w:rsidRDefault="00A22E78" w:rsidP="00A22E78">
      <w:pPr>
        <w:numPr>
          <w:ilvl w:val="0"/>
          <w:numId w:val="11"/>
        </w:numPr>
        <w:tabs>
          <w:tab w:val="left" w:pos="567"/>
        </w:tabs>
        <w:suppressAutoHyphens w:val="0"/>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
          <w:sz w:val="24"/>
          <w:szCs w:val="24"/>
          <w:lang w:eastAsia="ru-RU"/>
        </w:rPr>
      </w:pPr>
      <w:r w:rsidRPr="001C48DA">
        <w:rPr>
          <w:rFonts w:ascii="Times New Roman" w:hAnsi="Times New Roman" w:cs="Times New Roman"/>
          <w:b/>
          <w:sz w:val="24"/>
          <w:szCs w:val="24"/>
          <w:lang w:eastAsia="en-US"/>
        </w:rPr>
        <w:t>Требования к производителю</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Производитель должен иметь необходимое оборудование, станки, производственные цеха, технологии изготовления, конструктив РУ, документационное обеспечение, квалифицированный персонал достаточные для обеспечения выполнения настоящих требований. В случае передачи каких-либо этапов производства на аутсорсинг, то данные этапы должны подтверждаться договорами, а также документами, подтверждающими обеспечение исполнения настоящих требований.</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Производитель должен иметь полный технологический цикл производства, полный цикл производства корпусов шкафов РУНН и РУВН, иметь собственный цех металлообработки (наличие автоматизированного гибочного и пробивного оборудования, оборудования с числовым программным управлением (ЧПУ); наличие машин координатной резки металла и т.д.) и свое сборочное производство электрических щитов. Предоставить сведения о передаче на аутсорсинг этапов производства и сборки. </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Информация о производстве и сборке электрощитового оборудования (собственное, лицензированное, сборка без лицензии) должна быть размещена и быть доступна на электронном ресурсе.</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По запросу производитель должен предоставить сведения о наличии производственных мощностей, специализированного оборудования, техники, материально-технических ресурсов. Наличие парка оборудования подтверждается справкой основных средств, заверенной директором и предприятия-изготовителя.</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По запросу производитель должен предоставить фотографии склада комплектующих, готовых изделий, цеха металлообработки (при наличии), сборочного цеха, электротехнической лаборатории для проведения приемо-сдаточных испытаний.</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У производителя должны быть заключены прямые договора со всеми производителями комплектующих, или наличие трехсторонних договоров между производителем комплектующих, его партнером (поставщиком покупателя) и покупателем.</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lastRenderedPageBreak/>
        <w:t xml:space="preserve">У производителя должна быть организована система контроля качества материалов, комплектующих и готового изделия. Контроль качества материалов и комплектующих должен производиться в момент/период их поступления на склад. Организация технического контроля качества поступающих на склад изделий должна быть формализована. </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У производителя должна быть зарегистрированная в органах Ростехнадзора электролаборатория. Данная лаборатория должна осуществлять проверку качества выпускаемой продукции на каждом этапе производства</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В случае проведение испытаний специализированной организацией должен быть заключен договор оказания соответствующих услуг. Требования к данной лаборатории указаны в разделе ПСИ и Типовых испытаний.</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Если производитель, изготавливает оборудование по лицензии Schneider Electric, Siemens, ABB, и т.п. то должна быть предоставлена соответствующая лицензия. </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Производитель должен предоставить Технические Условия на предлагаемую продукцию.</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У производителя должен быть в наличие сертификат системы менеджмента качества (СМК) Стандарта ISO 9001 или ГОСТ ISO 9001.</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У производителя должны быть в наличии действующие сертификаты соответствия на всю номенклатуру предлагаемой продукции.</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У производителя должны быть в наличии протоколы испытаний, на основании которых выданы сертификаты соответствия на оборудование.</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Производитель должен комплектовать РУ инструкций по монтажу, сборке, при необходимости в инструкциях по транспортированию, монтажу и эксплуатации РУ следует указывать меры, имеющие особо-важное значение для правильной установки, ввода в действие и эксплуатации РУ. </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p>
    <w:p w:rsidR="00A22E78" w:rsidRPr="001C48DA" w:rsidRDefault="00A22E78" w:rsidP="00A22E78">
      <w:pPr>
        <w:numPr>
          <w:ilvl w:val="0"/>
          <w:numId w:val="11"/>
        </w:numPr>
        <w:suppressAutoHyphens w:val="0"/>
        <w:spacing w:after="0" w:line="240" w:lineRule="auto"/>
        <w:ind w:left="0" w:firstLine="0"/>
        <w:rPr>
          <w:rFonts w:ascii="Times New Roman" w:hAnsi="Times New Roman" w:cs="Times New Roman"/>
          <w:b/>
          <w:sz w:val="24"/>
          <w:szCs w:val="24"/>
          <w:lang w:eastAsia="en-US"/>
        </w:rPr>
      </w:pPr>
      <w:r w:rsidRPr="001C48DA">
        <w:rPr>
          <w:rFonts w:ascii="Times New Roman" w:hAnsi="Times New Roman" w:cs="Times New Roman"/>
          <w:b/>
          <w:sz w:val="24"/>
          <w:szCs w:val="24"/>
          <w:lang w:eastAsia="en-US"/>
        </w:rPr>
        <w:t>Особые условия</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Исполнитель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На момент заключения договора, а также в период всего срока действия и исполнения Договора Исполнитель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выписка из ЕГРЮЛ;</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свидетельства о государственной регистрации общества (ОГРН), свидетельства о постановке на учет в налоговом органе по месту регистрации (ИНН);</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приказ о вступлении в должность единоличного исполнительного органа общества;</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устав;</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лицензии, выданные Исполнителю на осуществление деятельности, в случаях, если осуществляемый вид деятельности требует прохождения процедуры лицензирования;</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доверенность лица, подписывающего договор (в случае, если договор подписывает не единоличный исполнительный орган);</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 xml:space="preserve"> справку из налогового органа об отсутствии задолженности на актуальную дату;</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штатное расписание, не содержащее персональные данные сотрудников (количество штатных единиц);</w:t>
      </w:r>
    </w:p>
    <w:p w:rsidR="00A22E78" w:rsidRPr="001C48DA" w:rsidRDefault="00A22E78" w:rsidP="00A22E78">
      <w:pPr>
        <w:numPr>
          <w:ilvl w:val="2"/>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документы, подтверждающие наличие офисных, складских и производственных помещений.</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lastRenderedPageBreak/>
        <w:t>В период действия договора актуальные документы предоставляются по запросу Заказчика в срок, указанный в требовании.</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hAnsi="Times New Roman" w:cs="Times New Roman"/>
          <w:sz w:val="24"/>
          <w:szCs w:val="24"/>
          <w:lang w:eastAsia="en-US"/>
        </w:rPr>
        <w:t>В случае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Подрядчик обязан предоставить все изменения (документы и сведения) Заказчику.</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b/>
          <w:sz w:val="24"/>
          <w:szCs w:val="24"/>
          <w:lang w:eastAsia="en-US"/>
        </w:rPr>
      </w:pPr>
      <w:r w:rsidRPr="001C48DA">
        <w:rPr>
          <w:rFonts w:ascii="Times New Roman" w:hAnsi="Times New Roman" w:cs="Times New Roman"/>
          <w:sz w:val="24"/>
          <w:szCs w:val="24"/>
          <w:lang w:eastAsia="en-US"/>
        </w:rPr>
        <w:t>Заказчик вправе не производить оплату по настоящему Договору в случае не предоставления или несвоевременного предоставления документов, запрошенных в соответствии с настоящим разделом Договора, а также в случае предоставления недостоверной или неполной информации, не неся при этом ответственности за нарушение сроков оплаты по настоящему Договору.</w:t>
      </w:r>
      <w:r w:rsidRPr="001C48DA">
        <w:rPr>
          <w:rFonts w:ascii="Times New Roman" w:hAnsi="Times New Roman" w:cs="Times New Roman"/>
          <w:b/>
          <w:sz w:val="24"/>
          <w:szCs w:val="24"/>
          <w:lang w:eastAsia="en-US"/>
        </w:rPr>
        <w:t xml:space="preserve">         </w:t>
      </w:r>
    </w:p>
    <w:p w:rsidR="00A22E78" w:rsidRPr="001C48DA" w:rsidRDefault="00A22E78" w:rsidP="00A22E78">
      <w:pPr>
        <w:suppressAutoHyphens w:val="0"/>
        <w:spacing w:after="0" w:line="240" w:lineRule="auto"/>
        <w:rPr>
          <w:rFonts w:ascii="Times New Roman" w:hAnsi="Times New Roman" w:cs="Times New Roman"/>
          <w:sz w:val="24"/>
          <w:szCs w:val="24"/>
          <w:lang w:eastAsia="en-US"/>
        </w:rPr>
      </w:pPr>
    </w:p>
    <w:p w:rsidR="00A22E78" w:rsidRPr="001C48DA" w:rsidRDefault="00A22E78" w:rsidP="00A22E78">
      <w:pPr>
        <w:numPr>
          <w:ilvl w:val="0"/>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eastAsia="Times New Roman" w:hAnsi="Times New Roman" w:cs="Times New Roman"/>
          <w:b/>
          <w:sz w:val="24"/>
          <w:szCs w:val="24"/>
          <w:lang w:eastAsia="ru-RU"/>
        </w:rPr>
        <w:t>Порядок расчета</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 xml:space="preserve">Аванс в размере </w:t>
      </w:r>
      <w:r w:rsidRPr="001C48DA">
        <w:rPr>
          <w:rFonts w:ascii="Times New Roman" w:eastAsia="Times New Roman" w:hAnsi="Times New Roman" w:cs="Times New Roman"/>
          <w:b/>
          <w:sz w:val="24"/>
          <w:szCs w:val="24"/>
          <w:lang w:eastAsia="ru-RU"/>
        </w:rPr>
        <w:t>50%</w:t>
      </w:r>
      <w:r w:rsidRPr="001C48DA">
        <w:rPr>
          <w:rFonts w:ascii="Times New Roman" w:eastAsia="Times New Roman" w:hAnsi="Times New Roman" w:cs="Times New Roman"/>
          <w:sz w:val="24"/>
          <w:szCs w:val="24"/>
          <w:lang w:eastAsia="ru-RU"/>
        </w:rPr>
        <w:t xml:space="preserve"> в течение 10 рабочих дней с момента подписания договора,  предоставления Исполнителем обеспечения исполнения договора (в части возврата аванса) и счета со ссылкой на номер и дату договора.</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eastAsia="Arial" w:hAnsi="Times New Roman" w:cs="Times New Roman"/>
          <w:bCs/>
          <w:sz w:val="24"/>
          <w:szCs w:val="24"/>
          <w:lang w:eastAsia="en-US"/>
        </w:rPr>
        <w:t>Окончательный расчет производится заказчиком в течение 30 календарных дней после подписания акта-приемки.</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eastAsia="Times New Roman" w:hAnsi="Times New Roman" w:cs="Times New Roman"/>
          <w:sz w:val="24"/>
          <w:szCs w:val="24"/>
          <w:lang w:eastAsia="ru-RU"/>
        </w:rPr>
        <w:t>Начальная (максимальная) стоимость 4 807 800,00 руб., с НДС</w:t>
      </w:r>
    </w:p>
    <w:p w:rsidR="00A22E78" w:rsidRPr="001C48DA" w:rsidRDefault="00A22E78" w:rsidP="00A22E78">
      <w:pPr>
        <w:numPr>
          <w:ilvl w:val="1"/>
          <w:numId w:val="11"/>
        </w:numPr>
        <w:suppressAutoHyphens w:val="0"/>
        <w:spacing w:after="0" w:line="240" w:lineRule="auto"/>
        <w:ind w:left="0" w:firstLine="0"/>
        <w:rPr>
          <w:rFonts w:ascii="Times New Roman" w:hAnsi="Times New Roman" w:cs="Times New Roman"/>
          <w:sz w:val="24"/>
          <w:szCs w:val="24"/>
          <w:lang w:eastAsia="en-US"/>
        </w:rPr>
      </w:pPr>
      <w:r w:rsidRPr="001C48DA">
        <w:rPr>
          <w:rFonts w:ascii="Times New Roman" w:eastAsia="Arial" w:hAnsi="Times New Roman" w:cs="Times New Roman"/>
          <w:b/>
          <w:bCs/>
          <w:sz w:val="24"/>
          <w:szCs w:val="24"/>
          <w:lang w:eastAsia="en-US"/>
        </w:rPr>
        <w:t>Обеспечение исполнения договора (применяется для обеспечения исполнения обязательств по возврату аванса):</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Исполнитель обязуется предоставить в срок не позднее 15 (пятнадцати) календарных дней с даты заключения Договора обеспечение возврата аванса по Договору в форме:</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безотзывной банковской гарантии (далее – банковская гарантия), выданной банком;</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денежных средств путем их перечисления Заказчику (обеспечительный платеж).</w:t>
      </w:r>
    </w:p>
    <w:p w:rsidR="00A22E78" w:rsidRPr="001C48DA" w:rsidRDefault="00A22E78" w:rsidP="00A22E78">
      <w:pPr>
        <w:suppressAutoHyphens w:val="0"/>
        <w:spacing w:after="0" w:line="240" w:lineRule="auto"/>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Способ обеспечения исполнения обязательств по Договору из перечисленных в настоящем пункте способов определяется Исполнителем по письменному согласованию с заказчиком.</w:t>
      </w:r>
    </w:p>
    <w:p w:rsidR="00A22E78" w:rsidRPr="001C48DA" w:rsidRDefault="00A22E78" w:rsidP="00A22E78">
      <w:pPr>
        <w:tabs>
          <w:tab w:val="left" w:pos="142"/>
        </w:tabs>
        <w:spacing w:after="0" w:line="100" w:lineRule="atLeast"/>
        <w:jc w:val="both"/>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 В случае, если Исполнитель зарекомендовал себя как благонадежный партнер (отсутствие претензионно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A22E78" w:rsidRPr="001C48DA" w:rsidRDefault="00A22E78" w:rsidP="00A22E78">
      <w:pPr>
        <w:numPr>
          <w:ilvl w:val="1"/>
          <w:numId w:val="11"/>
        </w:numPr>
        <w:tabs>
          <w:tab w:val="left" w:pos="142"/>
        </w:tabs>
        <w:suppressAutoHyphens w:val="0"/>
        <w:spacing w:after="0" w:line="100" w:lineRule="atLeast"/>
        <w:ind w:left="0" w:firstLine="0"/>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В цену входит</w:t>
      </w:r>
      <w:r w:rsidRPr="001C48DA">
        <w:rPr>
          <w:rFonts w:ascii="Times New Roman" w:eastAsia="Times New Roman" w:hAnsi="Times New Roman" w:cs="Times New Roman"/>
          <w:b/>
          <w:sz w:val="24"/>
          <w:szCs w:val="24"/>
          <w:lang w:eastAsia="ru-RU"/>
        </w:rPr>
        <w:t xml:space="preserve"> </w:t>
      </w:r>
      <w:r w:rsidRPr="001C48DA">
        <w:rPr>
          <w:rFonts w:ascii="Times New Roman" w:eastAsia="Times New Roman" w:hAnsi="Times New Roman" w:cs="Times New Roman"/>
          <w:sz w:val="24"/>
          <w:szCs w:val="24"/>
          <w:lang w:eastAsia="ru-RU"/>
        </w:rPr>
        <w:t>стоимость Оборудования со всеми необходимыми для монтажа материалами (включая межячейковые вторичные кабельные связи, сборные шины, клеммные шкафы ввода цепей опертока и собственных нужд), доставка до склада Покупателя, страхование, упаковка, все налоги и сборы, включая 20% НДС, а также другие платежи, связанные с исполнением Исполнителем своих обязательств по договору поставки.</w:t>
      </w:r>
    </w:p>
    <w:p w:rsidR="00A22E78" w:rsidRPr="001C48DA" w:rsidRDefault="00A22E78" w:rsidP="00A22E78">
      <w:pPr>
        <w:numPr>
          <w:ilvl w:val="1"/>
          <w:numId w:val="11"/>
        </w:numPr>
        <w:tabs>
          <w:tab w:val="left" w:pos="142"/>
        </w:tabs>
        <w:suppressAutoHyphens w:val="0"/>
        <w:spacing w:after="0" w:line="100" w:lineRule="atLeast"/>
        <w:ind w:left="0" w:firstLine="0"/>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Участнику в заявке и приложении № 1 к договору на поставку предусмотреть выделение отдельными пунктами стоимости поставляемой ячейки, терминала релейной и дуговой защиты.</w:t>
      </w:r>
    </w:p>
    <w:p w:rsidR="00A22E78" w:rsidRPr="001C48DA" w:rsidRDefault="00A22E78" w:rsidP="00A22E78">
      <w:pPr>
        <w:numPr>
          <w:ilvl w:val="1"/>
          <w:numId w:val="11"/>
        </w:numPr>
        <w:tabs>
          <w:tab w:val="left" w:pos="142"/>
        </w:tabs>
        <w:suppressAutoHyphens w:val="0"/>
        <w:spacing w:after="0" w:line="100" w:lineRule="atLeast"/>
        <w:ind w:left="0" w:firstLine="0"/>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В случае нарушения сроков выполнения работ по каждому из этапов,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Подрядчика, оплачивает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При нарушении иных условий договора к Поставщику могут быть предъявлены иные штрафные санкции</w:t>
      </w:r>
    </w:p>
    <w:p w:rsidR="00A22E78" w:rsidRPr="001C48DA" w:rsidRDefault="00A22E78" w:rsidP="00A22E78">
      <w:pPr>
        <w:numPr>
          <w:ilvl w:val="1"/>
          <w:numId w:val="11"/>
        </w:numPr>
        <w:suppressAutoHyphens w:val="0"/>
        <w:spacing w:after="0" w:line="240" w:lineRule="auto"/>
        <w:ind w:left="0" w:firstLine="0"/>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За задержку окончательной оплаты по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Исполнитель вправе предъявить Заказчику неустойку в размере 0,01% от стоимости неоплаченного окончательного платежа, но не более 5% от неоплаченной суммы окончательного платежа.</w:t>
      </w:r>
    </w:p>
    <w:p w:rsidR="00A24FEA" w:rsidRPr="00A22E78" w:rsidRDefault="00A22E78" w:rsidP="007C40C4">
      <w:pPr>
        <w:numPr>
          <w:ilvl w:val="1"/>
          <w:numId w:val="11"/>
        </w:numPr>
        <w:suppressAutoHyphens w:val="0"/>
        <w:spacing w:after="0" w:line="240" w:lineRule="auto"/>
        <w:ind w:left="0" w:firstLine="0"/>
        <w:rPr>
          <w:rFonts w:ascii="Times New Roman" w:eastAsia="Times New Roman" w:hAnsi="Times New Roman" w:cs="Times New Roman"/>
          <w:sz w:val="24"/>
          <w:szCs w:val="24"/>
          <w:lang w:eastAsia="ru-RU"/>
        </w:rPr>
      </w:pPr>
      <w:r w:rsidRPr="001C48DA">
        <w:rPr>
          <w:rFonts w:ascii="Times New Roman" w:eastAsia="Times New Roman" w:hAnsi="Times New Roman" w:cs="Times New Roman"/>
          <w:sz w:val="24"/>
          <w:szCs w:val="24"/>
          <w:lang w:eastAsia="ru-RU"/>
        </w:rPr>
        <w:t>В случае нарушения Исполнителем срока выполнения работ по настоящему Договору, Заказчик вправе удержать сумму неустойки предусмотренной договором из суммы окончательного платежа в безакцептном внесудебном порядке.</w:t>
      </w:r>
      <w:bookmarkStart w:id="0" w:name="_GoBack"/>
      <w:bookmarkEnd w:id="0"/>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опубликованное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 СОГЛАСНО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__________________________ включает в себя ………</w:t>
      </w:r>
      <w:r w:rsidRPr="00221168">
        <w:rPr>
          <w:rFonts w:ascii="Times New Roman" w:hAnsi="Times New Roman" w:cs="Times New Roman"/>
          <w:b w:val="0"/>
          <w:i/>
          <w:sz w:val="18"/>
          <w:szCs w:val="18"/>
        </w:rPr>
        <w:t xml:space="preserve">Общая стоимость договора  должна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Мы согласны с тем, что процедура запроса коммерческих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r>
        <w:rPr>
          <w:rFonts w:ascii="Times New Roman" w:hAnsi="Times New Roman" w:cs="Times New Roman"/>
          <w:b/>
          <w:color w:val="000000"/>
        </w:rPr>
        <w:t>СОГЛАСЕН.</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  закупках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Сделка по данному договору 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r w:rsidRPr="009B2F7B">
        <w:rPr>
          <w:rFonts w:ascii="Times New Roman" w:eastAsia="SimSun" w:hAnsi="Times New Roman" w:cs="Times New Roman"/>
          <w:b/>
          <w:sz w:val="24"/>
          <w:szCs w:val="24"/>
        </w:rPr>
        <w:t>является/не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(фамилия, имя, отчество подписавшего,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r w:rsidRPr="00F46F18">
              <w:rPr>
                <w:rFonts w:ascii="Times New Roman" w:hAnsi="Times New Roman" w:cs="Times New Roman"/>
                <w:b/>
                <w:sz w:val="24"/>
                <w:szCs w:val="24"/>
                <w:lang w:eastAsia="en-US"/>
              </w:rPr>
              <w:t>Skype</w:t>
            </w:r>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web-сайта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e-mail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внеоборотных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r w:rsidR="00540A4A" w:rsidRPr="00B71DBA">
              <w:rPr>
                <w:rFonts w:ascii="Times New Roman" w:hAnsi="Times New Roman" w:cs="Times New Roman"/>
                <w:sz w:val="24"/>
                <w:szCs w:val="24"/>
                <w:lang w:eastAsia="en-US"/>
              </w:rPr>
              <w:t>дочерних/аффилированных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e-mail</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п/п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r w:rsidR="00DD2122">
        <w:rPr>
          <w:rFonts w:ascii="Times New Roman" w:eastAsia="Times New Roman" w:hAnsi="Times New Roman" w:cs="Times New Roman"/>
          <w:lang w:eastAsia="ru-RU"/>
        </w:rPr>
        <w:t xml:space="preserve">договора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м.п.</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t>п/п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м.п.</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A22E78">
      <w:rPr>
        <w:noProof/>
      </w:rPr>
      <w:t>2</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4">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30"/>
  </w:num>
  <w:num w:numId="7">
    <w:abstractNumId w:val="34"/>
  </w:num>
  <w:num w:numId="8">
    <w:abstractNumId w:val="26"/>
  </w:num>
  <w:num w:numId="9">
    <w:abstractNumId w:val="31"/>
  </w:num>
  <w:num w:numId="10">
    <w:abstractNumId w:val="29"/>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E78"/>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290C-5639-41AD-A6B3-44E11188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8230</Words>
  <Characters>46913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55033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19</cp:revision>
  <cp:lastPrinted>2020-05-25T10:57:00Z</cp:lastPrinted>
  <dcterms:created xsi:type="dcterms:W3CDTF">2022-02-04T06:47:00Z</dcterms:created>
  <dcterms:modified xsi:type="dcterms:W3CDTF">2023-01-13T07:57:00Z</dcterms:modified>
</cp:coreProperties>
</file>