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E45EAF" w:rsidP="005C4CB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E45EAF" w:rsidRDefault="00CD6302" w:rsidP="00E45E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234BE">
        <w:rPr>
          <w:rFonts w:ascii="Times New Roman" w:hAnsi="Times New Roman"/>
          <w:b/>
          <w:sz w:val="28"/>
          <w:szCs w:val="28"/>
        </w:rPr>
        <w:t>МСЧ</w:t>
      </w:r>
      <w:r w:rsidR="004C0B3E">
        <w:rPr>
          <w:rFonts w:ascii="Times New Roman" w:hAnsi="Times New Roman"/>
          <w:b/>
          <w:sz w:val="28"/>
          <w:szCs w:val="28"/>
        </w:rPr>
        <w:t xml:space="preserve"> </w:t>
      </w:r>
      <w:r w:rsidR="004C0B3E" w:rsidRPr="004C0B3E">
        <w:rPr>
          <w:rFonts w:ascii="Times New Roman" w:hAnsi="Times New Roman"/>
          <w:b/>
          <w:sz w:val="28"/>
          <w:szCs w:val="28"/>
        </w:rPr>
        <w:t>ДЛЯ ГРУЗОПАССАЖИРСКОГО СУДНА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6D6502"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Pr>
          <w:rFonts w:ascii="Times New Roman" w:hAnsi="Times New Roman" w:cs="Times New Roman"/>
          <w:sz w:val="24"/>
          <w:szCs w:val="24"/>
          <w:shd w:val="clear" w:color="auto" w:fill="FFFFFF"/>
        </w:rPr>
        <w:t>ro7@kerch</w:t>
      </w:r>
      <w:r>
        <w:rPr>
          <w:rFonts w:ascii="Times New Roman" w:hAnsi="Times New Roman" w:cs="Times New Roman"/>
          <w:sz w:val="24"/>
          <w:szCs w:val="24"/>
          <w:shd w:val="clear" w:color="auto" w:fill="FFFFFF"/>
          <w:lang w:val="en-US"/>
        </w:rPr>
        <w:t>butoma</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ru</w:t>
      </w:r>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4934A4">
        <w:rPr>
          <w:rFonts w:ascii="Times New Roman" w:hAnsi="Times New Roman" w:cs="Times New Roman"/>
          <w:sz w:val="24"/>
          <w:szCs w:val="24"/>
        </w:rPr>
        <w:t xml:space="preserve"> </w:t>
      </w:r>
      <w:r w:rsidR="00A234BE">
        <w:rPr>
          <w:rFonts w:ascii="Times New Roman" w:hAnsi="Times New Roman" w:cs="Times New Roman"/>
          <w:sz w:val="24"/>
          <w:szCs w:val="24"/>
        </w:rPr>
        <w:t>МСЧ</w:t>
      </w:r>
      <w:r w:rsidR="008B2A5F">
        <w:rPr>
          <w:rFonts w:ascii="Times New Roman" w:hAnsi="Times New Roman" w:cs="Times New Roman"/>
          <w:sz w:val="24"/>
          <w:szCs w:val="24"/>
        </w:rPr>
        <w:t xml:space="preserve"> </w:t>
      </w:r>
      <w:r w:rsidR="00C75891" w:rsidRPr="00C75891">
        <w:rPr>
          <w:rFonts w:ascii="Times New Roman" w:hAnsi="Times New Roman" w:cs="Times New Roman"/>
          <w:sz w:val="24"/>
          <w:szCs w:val="24"/>
        </w:rPr>
        <w:t>для грузопассажирского судна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7F3AF5" w:rsidRDefault="0004121C" w:rsidP="007F3AF5">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234BE" w:rsidRPr="00A234BE">
        <w:rPr>
          <w:rFonts w:eastAsia="Courier New"/>
          <w:color w:val="000000"/>
          <w:spacing w:val="-4"/>
          <w:sz w:val="24"/>
          <w:szCs w:val="24"/>
        </w:rPr>
        <w:t>не более 65 календарных дней с момента предоплаты, допускается досрочная поставка по письменному согласованию сторон.</w:t>
      </w:r>
    </w:p>
    <w:p w:rsidR="001F3819" w:rsidRPr="007F3AF5" w:rsidRDefault="0004121C" w:rsidP="007F3AF5">
      <w:pPr>
        <w:pStyle w:val="af2"/>
        <w:widowControl w:val="0"/>
        <w:tabs>
          <w:tab w:val="left" w:pos="142"/>
        </w:tabs>
        <w:ind w:firstLine="567"/>
        <w:jc w:val="both"/>
        <w:rPr>
          <w:rFonts w:eastAsia="Courier New"/>
          <w:color w:val="000000"/>
          <w:spacing w:val="-4"/>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1F3819" w:rsidRPr="001F3819">
        <w:rPr>
          <w:sz w:val="24"/>
          <w:szCs w:val="24"/>
        </w:rPr>
        <w:t xml:space="preserve">РФ, Республика Крым, г. Керчь, ул. Танкистов, д. 4. </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234BE">
        <w:rPr>
          <w:sz w:val="24"/>
          <w:szCs w:val="24"/>
        </w:rPr>
        <w:t>4 106 304</w:t>
      </w:r>
      <w:r w:rsidR="00C75891">
        <w:rPr>
          <w:sz w:val="24"/>
          <w:szCs w:val="24"/>
        </w:rPr>
        <w:t xml:space="preserve"> рублей </w:t>
      </w:r>
      <w:r w:rsidR="00A234BE">
        <w:rPr>
          <w:sz w:val="24"/>
          <w:szCs w:val="24"/>
        </w:rPr>
        <w:t>без</w:t>
      </w:r>
      <w:r w:rsidR="00C75891">
        <w:rPr>
          <w:sz w:val="24"/>
          <w:szCs w:val="24"/>
        </w:rPr>
        <w:t xml:space="preserve"> НДС.</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A06E11" w:rsidRPr="001F3819"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75891">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C75891">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A234BE">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073D77">
        <w:rPr>
          <w:rFonts w:ascii="Times New Roman" w:hAnsi="Times New Roman" w:cs="Times New Roman"/>
          <w:sz w:val="24"/>
          <w:szCs w:val="24"/>
          <w:u w:val="single"/>
        </w:rPr>
        <w:t>3</w:t>
      </w:r>
      <w:r w:rsidR="00C75891">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75891">
        <w:rPr>
          <w:rFonts w:ascii="Times New Roman" w:hAnsi="Times New Roman" w:cs="Times New Roman"/>
          <w:sz w:val="24"/>
          <w:szCs w:val="24"/>
          <w:u w:val="single"/>
        </w:rPr>
        <w:t>26</w:t>
      </w:r>
      <w:r w:rsidR="00CD6F1C" w:rsidRPr="008C74E7">
        <w:rPr>
          <w:rFonts w:ascii="Times New Roman" w:hAnsi="Times New Roman" w:cs="Times New Roman"/>
          <w:sz w:val="24"/>
          <w:szCs w:val="24"/>
          <w:u w:val="single"/>
        </w:rPr>
        <w:t>.</w:t>
      </w:r>
      <w:r w:rsidR="00C75891">
        <w:rPr>
          <w:rFonts w:ascii="Times New Roman" w:hAnsi="Times New Roman" w:cs="Times New Roman"/>
          <w:sz w:val="24"/>
          <w:szCs w:val="24"/>
          <w:u w:val="single"/>
        </w:rPr>
        <w:t>12</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A234BE">
        <w:rPr>
          <w:rFonts w:ascii="Times New Roman" w:hAnsi="Times New Roman" w:cs="Times New Roman"/>
          <w:sz w:val="24"/>
          <w:szCs w:val="24"/>
          <w:u w:val="single"/>
        </w:rPr>
        <w:t xml:space="preserve"> 11</w:t>
      </w:r>
      <w:r w:rsidR="00C64906" w:rsidRPr="008C74E7">
        <w:rPr>
          <w:rFonts w:ascii="Times New Roman" w:hAnsi="Times New Roman" w:cs="Times New Roman"/>
          <w:sz w:val="24"/>
          <w:szCs w:val="24"/>
          <w:u w:val="single"/>
        </w:rPr>
        <w:t xml:space="preserve">:00 </w:t>
      </w:r>
      <w:r w:rsidRPr="008C74E7">
        <w:rPr>
          <w:rFonts w:ascii="Times New Roman" w:hAnsi="Times New Roman" w:cs="Times New Roman"/>
          <w:sz w:val="24"/>
          <w:szCs w:val="24"/>
          <w:u w:val="single"/>
        </w:rPr>
        <w:t xml:space="preserve">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234BE">
              <w:rPr>
                <w:rFonts w:ascii="Times New Roman" w:hAnsi="Times New Roman" w:cs="Times New Roman"/>
                <w:sz w:val="24"/>
                <w:szCs w:val="24"/>
              </w:rPr>
              <w:t>20.12.2022 16</w:t>
            </w:r>
            <w:r w:rsidR="00701E8A">
              <w:rPr>
                <w:rFonts w:ascii="Times New Roman" w:hAnsi="Times New Roman" w:cs="Times New Roman"/>
                <w:sz w:val="24"/>
                <w:szCs w:val="24"/>
              </w:rPr>
              <w:t>:</w:t>
            </w:r>
            <w:r w:rsidR="00073D77">
              <w:rPr>
                <w:rFonts w:ascii="Times New Roman" w:hAnsi="Times New Roman" w:cs="Times New Roman"/>
                <w:sz w:val="24"/>
                <w:szCs w:val="24"/>
              </w:rPr>
              <w:t>3</w:t>
            </w:r>
            <w:r w:rsidR="00C75891">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75891">
              <w:rPr>
                <w:rFonts w:ascii="Times New Roman" w:hAnsi="Times New Roman" w:cs="Times New Roman"/>
                <w:sz w:val="24"/>
                <w:szCs w:val="24"/>
              </w:rPr>
              <w:t>26.12</w:t>
            </w:r>
            <w:r w:rsidR="008C74E7">
              <w:rPr>
                <w:rFonts w:ascii="Times New Roman" w:hAnsi="Times New Roman" w:cs="Times New Roman"/>
                <w:sz w:val="24"/>
                <w:szCs w:val="24"/>
              </w:rPr>
              <w:t>.2022 11</w:t>
            </w:r>
            <w:r w:rsidR="00186792" w:rsidRPr="008C74E7">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234BE">
        <w:rPr>
          <w:rFonts w:ascii="Times New Roman" w:hAnsi="Times New Roman" w:cs="Times New Roman"/>
          <w:sz w:val="24"/>
          <w:szCs w:val="24"/>
        </w:rPr>
        <w:t>16</w:t>
      </w:r>
      <w:r w:rsidR="00073D77">
        <w:rPr>
          <w:rFonts w:ascii="Times New Roman" w:hAnsi="Times New Roman" w:cs="Times New Roman"/>
          <w:sz w:val="24"/>
          <w:szCs w:val="24"/>
        </w:rPr>
        <w:t>:3</w:t>
      </w:r>
      <w:r w:rsidR="00C75891">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75891">
        <w:rPr>
          <w:rFonts w:ascii="Times New Roman" w:hAnsi="Times New Roman" w:cs="Times New Roman"/>
          <w:sz w:val="24"/>
          <w:szCs w:val="24"/>
          <w:u w:val="single"/>
        </w:rPr>
        <w:t>20.12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w:t>
      </w:r>
      <w:r w:rsidR="004D3AD8" w:rsidRPr="008C74E7">
        <w:rPr>
          <w:rFonts w:ascii="Times New Roman" w:hAnsi="Times New Roman" w:cs="Times New Roman"/>
          <w:sz w:val="24"/>
          <w:szCs w:val="24"/>
        </w:rPr>
        <w:t>1</w:t>
      </w:r>
      <w:r w:rsidR="008C74E7">
        <w:rPr>
          <w:rFonts w:ascii="Times New Roman" w:hAnsi="Times New Roman" w:cs="Times New Roman"/>
          <w:sz w:val="24"/>
          <w:szCs w:val="24"/>
        </w:rPr>
        <w:t>1</w:t>
      </w:r>
      <w:r w:rsidR="009E5836" w:rsidRPr="008C74E7">
        <w:rPr>
          <w:rFonts w:ascii="Times New Roman" w:hAnsi="Times New Roman" w:cs="Times New Roman"/>
          <w:sz w:val="24"/>
          <w:szCs w:val="24"/>
        </w:rPr>
        <w:t>:</w:t>
      </w:r>
      <w:r w:rsidR="004D3AD8" w:rsidRPr="008C74E7">
        <w:rPr>
          <w:rFonts w:ascii="Times New Roman" w:hAnsi="Times New Roman" w:cs="Times New Roman"/>
          <w:sz w:val="24"/>
          <w:szCs w:val="24"/>
        </w:rPr>
        <w:t>00</w:t>
      </w:r>
      <w:r w:rsidR="00C64906" w:rsidRPr="008C74E7">
        <w:rPr>
          <w:rFonts w:ascii="Times New Roman" w:hAnsi="Times New Roman" w:cs="Times New Roman"/>
          <w:sz w:val="24"/>
          <w:szCs w:val="24"/>
        </w:rPr>
        <w:t xml:space="preserve"> часов (время московское) </w:t>
      </w:r>
      <w:r w:rsidR="00C75891">
        <w:rPr>
          <w:rFonts w:ascii="Times New Roman" w:hAnsi="Times New Roman" w:cs="Times New Roman"/>
          <w:sz w:val="24"/>
          <w:szCs w:val="24"/>
          <w:u w:val="single"/>
        </w:rPr>
        <w:t>23.12</w:t>
      </w:r>
      <w:r w:rsidR="00C64906" w:rsidRPr="008C74E7">
        <w:rPr>
          <w:rFonts w:ascii="Times New Roman" w:hAnsi="Times New Roman" w:cs="Times New Roman"/>
          <w:sz w:val="24"/>
          <w:szCs w:val="24"/>
          <w:u w:val="single"/>
        </w:rPr>
        <w:t>.</w:t>
      </w:r>
      <w:r w:rsidR="009E5836" w:rsidRPr="008C74E7">
        <w:rPr>
          <w:rFonts w:ascii="Times New Roman" w:hAnsi="Times New Roman" w:cs="Times New Roman"/>
          <w:sz w:val="24"/>
          <w:szCs w:val="24"/>
          <w:u w:val="single"/>
        </w:rPr>
        <w:t>2022</w:t>
      </w:r>
      <w:r w:rsidR="00C64906" w:rsidRPr="008C74E7">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9D5A38">
        <w:rPr>
          <w:rFonts w:ascii="Times New Roman" w:hAnsi="Times New Roman" w:cs="Times New Roman"/>
          <w:sz w:val="24"/>
          <w:szCs w:val="24"/>
          <w:lang w:eastAsia="en-US"/>
        </w:rPr>
        <w:t xml:space="preserve">одведение итогов до </w:t>
      </w:r>
      <w:r w:rsidR="00C75891">
        <w:rPr>
          <w:rFonts w:ascii="Times New Roman" w:hAnsi="Times New Roman" w:cs="Times New Roman"/>
          <w:sz w:val="24"/>
          <w:szCs w:val="24"/>
          <w:u w:val="single"/>
          <w:lang w:eastAsia="en-US"/>
        </w:rPr>
        <w:t>30</w:t>
      </w:r>
      <w:r w:rsidR="00C64906" w:rsidRPr="008C74E7">
        <w:rPr>
          <w:rFonts w:ascii="Times New Roman" w:hAnsi="Times New Roman" w:cs="Times New Roman"/>
          <w:sz w:val="24"/>
          <w:szCs w:val="24"/>
          <w:u w:val="single"/>
          <w:lang w:eastAsia="en-US"/>
        </w:rPr>
        <w:t>.</w:t>
      </w:r>
      <w:r w:rsidR="00C75891">
        <w:rPr>
          <w:rFonts w:ascii="Times New Roman" w:hAnsi="Times New Roman" w:cs="Times New Roman"/>
          <w:sz w:val="24"/>
          <w:szCs w:val="24"/>
          <w:u w:val="single"/>
          <w:lang w:eastAsia="en-US"/>
        </w:rPr>
        <w:t>01</w:t>
      </w:r>
      <w:r w:rsidR="00C64906" w:rsidRPr="008C74E7">
        <w:rPr>
          <w:rFonts w:ascii="Times New Roman" w:hAnsi="Times New Roman" w:cs="Times New Roman"/>
          <w:sz w:val="24"/>
          <w:szCs w:val="24"/>
          <w:u w:val="single"/>
          <w:lang w:eastAsia="en-US"/>
        </w:rPr>
        <w:t>.</w:t>
      </w:r>
      <w:r w:rsidR="00C75891">
        <w:rPr>
          <w:rFonts w:ascii="Times New Roman" w:hAnsi="Times New Roman" w:cs="Times New Roman"/>
          <w:sz w:val="24"/>
          <w:szCs w:val="24"/>
          <w:u w:val="single"/>
        </w:rPr>
        <w:t>2023</w:t>
      </w:r>
      <w:r w:rsidR="00C64906" w:rsidRPr="008C74E7">
        <w:rPr>
          <w:rFonts w:ascii="Times New Roman" w:hAnsi="Times New Roman" w:cs="Times New Roman"/>
          <w:sz w:val="24"/>
          <w:szCs w:val="24"/>
          <w:u w:val="single"/>
        </w:rPr>
        <w:t xml:space="preserve"> 17:00</w:t>
      </w:r>
      <w:r w:rsidR="00C64906" w:rsidRPr="008C74E7">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4C0B3E" w:rsidRPr="00610BF4" w:rsidRDefault="004C0B3E" w:rsidP="004C0B3E">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Pr>
          <w:rFonts w:ascii="Times New Roman" w:hAnsi="Times New Roman" w:cs="Times New Roman"/>
          <w:sz w:val="24"/>
          <w:szCs w:val="24"/>
        </w:rPr>
        <w:t>енной Заказчиком (Приложение № 2</w:t>
      </w:r>
      <w:r w:rsidRPr="00610BF4">
        <w:rPr>
          <w:rFonts w:ascii="Times New Roman" w:hAnsi="Times New Roman" w:cs="Times New Roman"/>
          <w:sz w:val="24"/>
          <w:szCs w:val="24"/>
        </w:rPr>
        <w:t>), а также в соответствии с техническим заданием.</w:t>
      </w:r>
    </w:p>
    <w:p w:rsidR="004C0B3E" w:rsidRPr="00610BF4" w:rsidRDefault="004C0B3E" w:rsidP="004C0B3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610BF4">
        <w:rPr>
          <w:rFonts w:ascii="Times New Roman" w:hAnsi="Times New Roman" w:cs="Times New Roman"/>
          <w:sz w:val="24"/>
          <w:szCs w:val="24"/>
        </w:rPr>
        <w:t>Анкету У</w:t>
      </w:r>
      <w:r>
        <w:rPr>
          <w:rFonts w:ascii="Times New Roman" w:hAnsi="Times New Roman" w:cs="Times New Roman"/>
          <w:sz w:val="24"/>
          <w:szCs w:val="24"/>
        </w:rPr>
        <w:t>частника закупки (Приложение № 3</w:t>
      </w:r>
      <w:r w:rsidRPr="00610BF4">
        <w:rPr>
          <w:rFonts w:ascii="Times New Roman" w:hAnsi="Times New Roman" w:cs="Times New Roman"/>
          <w:sz w:val="24"/>
          <w:szCs w:val="24"/>
        </w:rPr>
        <w:t>).</w:t>
      </w:r>
    </w:p>
    <w:p w:rsidR="004C0B3E" w:rsidRPr="00610BF4"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4C0B3E" w:rsidRPr="00610BF4" w:rsidRDefault="004C0B3E" w:rsidP="004C0B3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выписку из ЕГРЮЛ, полученную не ранее чем за 14 календарных дней на дату предоставления коммерческого предложения (в том чи</w:t>
      </w:r>
      <w:r>
        <w:rPr>
          <w:rFonts w:ascii="Times New Roman" w:hAnsi="Times New Roman" w:cs="Times New Roman"/>
          <w:bCs/>
          <w:sz w:val="24"/>
          <w:szCs w:val="24"/>
          <w:lang w:bidi="ru-RU"/>
        </w:rPr>
        <w:t>сле при распечатывании выписки)</w:t>
      </w:r>
      <w:r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Pr>
          <w:rFonts w:ascii="Times New Roman" w:hAnsi="Times New Roman" w:cs="Times New Roman"/>
          <w:bCs/>
          <w:sz w:val="24"/>
          <w:szCs w:val="24"/>
          <w:lang w:bidi="ru-RU"/>
        </w:rPr>
        <w:t>нную подпись и ее визуализацию;</w:t>
      </w:r>
    </w:p>
    <w:p w:rsidR="004C0B3E" w:rsidRPr="00610BF4"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4C0B3E" w:rsidRPr="00610BF4"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4C0B3E" w:rsidRPr="00E753AD"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4C0B3E"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7)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4C0B3E"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C0B3E"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 д</w:t>
      </w:r>
      <w:r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Pr>
          <w:rFonts w:ascii="Times New Roman" w:hAnsi="Times New Roman" w:cs="Times New Roman"/>
          <w:bCs/>
          <w:sz w:val="24"/>
          <w:szCs w:val="24"/>
          <w:lang w:bidi="ru-RU"/>
        </w:rPr>
        <w:t>еля производителя (при наличии);</w:t>
      </w:r>
    </w:p>
    <w:p w:rsidR="004C0B3E"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EB7430">
        <w:rPr>
          <w:rFonts w:ascii="Times New Roman" w:hAnsi="Times New Roman" w:cs="Times New Roman"/>
          <w:sz w:val="24"/>
          <w:szCs w:val="24"/>
        </w:rPr>
        <w:t xml:space="preserve">) </w:t>
      </w:r>
      <w:r>
        <w:rPr>
          <w:rFonts w:ascii="Times New Roman" w:hAnsi="Times New Roman" w:cs="Times New Roman"/>
          <w:sz w:val="24"/>
          <w:szCs w:val="24"/>
        </w:rPr>
        <w:t>Сертификаты качества завода изготовителя либо г</w:t>
      </w:r>
      <w:r w:rsidRPr="00EB7430">
        <w:rPr>
          <w:rFonts w:ascii="Times New Roman" w:hAnsi="Times New Roman" w:cs="Times New Roman"/>
          <w:sz w:val="24"/>
          <w:szCs w:val="24"/>
        </w:rPr>
        <w:t xml:space="preserve">арантийное письмо о предоставлении </w:t>
      </w:r>
      <w:r>
        <w:rPr>
          <w:rFonts w:ascii="Times New Roman" w:hAnsi="Times New Roman" w:cs="Times New Roman"/>
          <w:sz w:val="24"/>
          <w:szCs w:val="24"/>
        </w:rPr>
        <w:t xml:space="preserve">сертификатов </w:t>
      </w:r>
      <w:r w:rsidRPr="009D5E7D">
        <w:rPr>
          <w:rFonts w:ascii="Times New Roman" w:hAnsi="Times New Roman" w:cs="Times New Roman"/>
          <w:sz w:val="24"/>
          <w:szCs w:val="24"/>
        </w:rPr>
        <w:t xml:space="preserve">качества </w:t>
      </w:r>
      <w:r>
        <w:rPr>
          <w:rFonts w:ascii="Times New Roman" w:hAnsi="Times New Roman" w:cs="Times New Roman"/>
          <w:sz w:val="24"/>
          <w:szCs w:val="24"/>
        </w:rPr>
        <w:t>завода изготовителя</w:t>
      </w:r>
      <w:r w:rsidRPr="009D5E7D">
        <w:rPr>
          <w:rFonts w:ascii="Times New Roman" w:hAnsi="Times New Roman" w:cs="Times New Roman"/>
          <w:sz w:val="24"/>
          <w:szCs w:val="24"/>
        </w:rPr>
        <w:t xml:space="preserve"> </w:t>
      </w:r>
      <w:r>
        <w:rPr>
          <w:rFonts w:ascii="Times New Roman" w:hAnsi="Times New Roman" w:cs="Times New Roman"/>
          <w:sz w:val="24"/>
          <w:szCs w:val="24"/>
        </w:rPr>
        <w:t>при поставке (надлежащим образом заверенные копии).</w:t>
      </w:r>
    </w:p>
    <w:p w:rsidR="004C0B3E" w:rsidRDefault="004C0B3E" w:rsidP="004C0B3E">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234BE" w:rsidRDefault="00A234BE"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5B20FD" w:rsidRPr="00CC512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234BE">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A234BE">
        <w:rPr>
          <w:rFonts w:ascii="Times New Roman" w:eastAsia="DejaVu Sans" w:hAnsi="Times New Roman" w:cs="Times New Roman"/>
          <w:sz w:val="24"/>
          <w:szCs w:val="24"/>
        </w:rPr>
        <w:t xml:space="preserve">в течение 10 (десяти) рабочих дней </w:t>
      </w:r>
      <w:r w:rsidRPr="00CC5120">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C5120">
        <w:rPr>
          <w:rFonts w:ascii="Times New Roman" w:eastAsia="DejaVu Sans" w:hAnsi="Times New Roman" w:cs="Times New Roman"/>
          <w:sz w:val="24"/>
          <w:szCs w:val="24"/>
        </w:rPr>
        <w:t>- Оконча</w:t>
      </w:r>
      <w:r w:rsidR="000A4501" w:rsidRPr="00CC5120">
        <w:rPr>
          <w:rFonts w:ascii="Times New Roman" w:eastAsia="DejaVu Sans" w:hAnsi="Times New Roman" w:cs="Times New Roman"/>
          <w:sz w:val="24"/>
          <w:szCs w:val="24"/>
        </w:rPr>
        <w:t>тельный расчет за вычетом авансового платежа</w:t>
      </w:r>
      <w:r w:rsidRPr="00CC5120">
        <w:rPr>
          <w:rFonts w:ascii="Times New Roman" w:eastAsia="DejaVu Sans" w:hAnsi="Times New Roman" w:cs="Times New Roman"/>
          <w:sz w:val="24"/>
          <w:szCs w:val="24"/>
        </w:rPr>
        <w:t xml:space="preserve"> производится в течение </w:t>
      </w:r>
      <w:r w:rsidR="00A234BE">
        <w:rPr>
          <w:rFonts w:ascii="Times New Roman" w:eastAsia="DejaVu Sans" w:hAnsi="Times New Roman" w:cs="Times New Roman"/>
          <w:sz w:val="24"/>
          <w:szCs w:val="24"/>
        </w:rPr>
        <w:t>15</w:t>
      </w:r>
      <w:r w:rsidR="00A234BE">
        <w:rPr>
          <w:rFonts w:ascii="Times New Roman" w:eastAsia="DejaVu Sans" w:hAnsi="Times New Roman" w:cs="Times New Roman"/>
          <w:sz w:val="24"/>
          <w:szCs w:val="24"/>
        </w:rPr>
        <w:t xml:space="preserve"> (</w:t>
      </w:r>
      <w:r w:rsidR="00A234BE">
        <w:rPr>
          <w:rFonts w:ascii="Times New Roman" w:eastAsia="DejaVu Sans" w:hAnsi="Times New Roman" w:cs="Times New Roman"/>
          <w:sz w:val="24"/>
          <w:szCs w:val="24"/>
        </w:rPr>
        <w:t>пятнадцати</w:t>
      </w:r>
      <w:r w:rsidR="00A234BE">
        <w:rPr>
          <w:rFonts w:ascii="Times New Roman" w:eastAsia="DejaVu Sans" w:hAnsi="Times New Roman" w:cs="Times New Roman"/>
          <w:sz w:val="24"/>
          <w:szCs w:val="24"/>
        </w:rPr>
        <w:t>)</w:t>
      </w:r>
      <w:r w:rsidR="00A234BE">
        <w:rPr>
          <w:rFonts w:ascii="Times New Roman" w:eastAsia="DejaVu Sans" w:hAnsi="Times New Roman" w:cs="Times New Roman"/>
          <w:sz w:val="24"/>
          <w:szCs w:val="24"/>
        </w:rPr>
        <w:t xml:space="preserve"> рабочих дней</w:t>
      </w:r>
      <w:r w:rsidRPr="00CC5120">
        <w:rPr>
          <w:rFonts w:ascii="Times New Roman" w:eastAsia="DejaVu Sans" w:hAnsi="Times New Roman" w:cs="Times New Roman"/>
          <w:sz w:val="24"/>
          <w:szCs w:val="24"/>
        </w:rPr>
        <w:t xml:space="preserve"> после приемки полного объема Товара согласно спецификации по количеству и качеству на складе Покупателя.</w:t>
      </w:r>
    </w:p>
    <w:p w:rsidR="00A234BE" w:rsidRDefault="00A234BE"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Без </w:t>
      </w:r>
      <w:r>
        <w:rPr>
          <w:rFonts w:ascii="Times New Roman" w:eastAsia="DejaVu Sans" w:hAnsi="Times New Roman" w:cs="Times New Roman"/>
          <w:sz w:val="24"/>
          <w:szCs w:val="24"/>
        </w:rPr>
        <w:t>применени</w:t>
      </w:r>
      <w:r>
        <w:rPr>
          <w:rFonts w:ascii="Times New Roman" w:eastAsia="DejaVu Sans" w:hAnsi="Times New Roman" w:cs="Times New Roman"/>
          <w:sz w:val="24"/>
          <w:szCs w:val="24"/>
        </w:rPr>
        <w:t>я</w:t>
      </w:r>
      <w:r>
        <w:rPr>
          <w:rFonts w:ascii="Times New Roman" w:eastAsia="DejaVu Sans" w:hAnsi="Times New Roman" w:cs="Times New Roman"/>
          <w:sz w:val="24"/>
          <w:szCs w:val="24"/>
        </w:rPr>
        <w:t xml:space="preserve"> авансирования:</w:t>
      </w:r>
    </w:p>
    <w:p w:rsidR="00A234BE" w:rsidRDefault="00A234BE" w:rsidP="00A234B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C5120">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Оплата в размере 100%</w:t>
      </w:r>
      <w:r w:rsidRPr="00CC512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10 (десяти) рабочих дней</w:t>
      </w:r>
      <w:r w:rsidRPr="00CC5120">
        <w:rPr>
          <w:rFonts w:ascii="Times New Roman" w:eastAsia="DejaVu Sans" w:hAnsi="Times New Roman" w:cs="Times New Roman"/>
          <w:sz w:val="24"/>
          <w:szCs w:val="24"/>
        </w:rPr>
        <w:t xml:space="preserve"> после приемки полного объема Товара согласно спецификации по количеству и качеству на складе Покупателя.</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F71F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9D5A38" w:rsidRPr="00E12402" w:rsidRDefault="009D5A3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7F3AF5" w:rsidRDefault="007F3AF5" w:rsidP="004E0A5B">
      <w:pPr>
        <w:widowControl w:val="0"/>
        <w:tabs>
          <w:tab w:val="left" w:pos="142"/>
        </w:tabs>
        <w:autoSpaceDE w:val="0"/>
        <w:spacing w:after="0" w:line="240" w:lineRule="auto"/>
        <w:rPr>
          <w:rFonts w:ascii="Times New Roman" w:hAnsi="Times New Roman" w:cs="Times New Roman"/>
          <w:i/>
          <w:sz w:val="24"/>
          <w:szCs w:val="24"/>
        </w:rPr>
      </w:pPr>
    </w:p>
    <w:p w:rsidR="007F3AF5" w:rsidRDefault="007F3AF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C75891" w:rsidRDefault="00C75891"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A234BE" w:rsidRPr="00B45D09" w:rsidRDefault="00A234BE" w:rsidP="00A234BE">
      <w:pPr>
        <w:spacing w:after="0" w:line="240" w:lineRule="auto"/>
        <w:jc w:val="center"/>
        <w:rPr>
          <w:rFonts w:ascii="Times New Roman" w:hAnsi="Times New Roman" w:cs="Times New Roman"/>
          <w:i/>
          <w:sz w:val="24"/>
          <w:szCs w:val="24"/>
        </w:rPr>
      </w:pPr>
      <w:r w:rsidRPr="00712131">
        <w:rPr>
          <w:rFonts w:ascii="Times New Roman" w:hAnsi="Times New Roman" w:cs="Times New Roman"/>
          <w:i/>
          <w:sz w:val="24"/>
          <w:szCs w:val="24"/>
        </w:rPr>
        <w:t xml:space="preserve">на приобретение  </w:t>
      </w:r>
      <w:r>
        <w:rPr>
          <w:rFonts w:ascii="Times New Roman" w:hAnsi="Times New Roman" w:cs="Times New Roman"/>
          <w:i/>
          <w:sz w:val="24"/>
          <w:szCs w:val="24"/>
        </w:rPr>
        <w:t>МСЧ</w:t>
      </w:r>
      <w:r w:rsidRPr="00712131">
        <w:rPr>
          <w:rFonts w:ascii="Times New Roman" w:hAnsi="Times New Roman" w:cs="Times New Roman"/>
          <w:i/>
          <w:sz w:val="24"/>
          <w:szCs w:val="24"/>
        </w:rPr>
        <w:t xml:space="preserve"> </w:t>
      </w:r>
      <w:r w:rsidRPr="00B45D09">
        <w:rPr>
          <w:rFonts w:ascii="Times New Roman" w:hAnsi="Times New Roman" w:cs="Times New Roman"/>
          <w:i/>
          <w:sz w:val="24"/>
          <w:szCs w:val="24"/>
        </w:rPr>
        <w:t xml:space="preserve"> для грузопассажирского судна проекта CNF22</w:t>
      </w:r>
    </w:p>
    <w:p w:rsidR="00A234BE" w:rsidRPr="00712131" w:rsidRDefault="00A234BE" w:rsidP="00A234BE">
      <w:pPr>
        <w:spacing w:after="0" w:line="240" w:lineRule="auto"/>
        <w:jc w:val="center"/>
        <w:rPr>
          <w:rFonts w:ascii="Times New Roman" w:hAnsi="Times New Roman" w:cs="Times New Roman"/>
          <w:sz w:val="24"/>
          <w:szCs w:val="24"/>
        </w:rPr>
      </w:pPr>
    </w:p>
    <w:p w:rsidR="00A234BE" w:rsidRPr="00712131" w:rsidRDefault="00A234BE" w:rsidP="00A234BE">
      <w:pPr>
        <w:pStyle w:val="af4"/>
        <w:spacing w:line="240" w:lineRule="auto"/>
        <w:ind w:left="-567"/>
        <w:jc w:val="both"/>
        <w:rPr>
          <w:rFonts w:ascii="Times New Roman" w:hAnsi="Times New Roman"/>
          <w:sz w:val="24"/>
          <w:szCs w:val="24"/>
        </w:rPr>
      </w:pPr>
      <w:r>
        <w:rPr>
          <w:rFonts w:ascii="Times New Roman" w:hAnsi="Times New Roman"/>
          <w:sz w:val="24"/>
          <w:szCs w:val="24"/>
        </w:rPr>
        <w:t xml:space="preserve">         </w:t>
      </w:r>
      <w:r w:rsidRPr="00712131">
        <w:rPr>
          <w:rFonts w:ascii="Times New Roman" w:hAnsi="Times New Roman"/>
          <w:sz w:val="24"/>
          <w:szCs w:val="24"/>
        </w:rPr>
        <w:t>1.Требование к количественным характеристикам поставки.</w:t>
      </w:r>
    </w:p>
    <w:p w:rsidR="00A234BE" w:rsidRDefault="00A234BE" w:rsidP="00A234BE">
      <w:pPr>
        <w:pStyle w:val="af4"/>
        <w:spacing w:line="240" w:lineRule="auto"/>
        <w:ind w:left="0"/>
        <w:jc w:val="both"/>
        <w:rPr>
          <w:rFonts w:ascii="Times New Roman" w:hAnsi="Times New Roman"/>
          <w:sz w:val="24"/>
          <w:szCs w:val="24"/>
        </w:rPr>
      </w:pPr>
      <w:r w:rsidRPr="00712131">
        <w:rPr>
          <w:rFonts w:ascii="Times New Roman" w:hAnsi="Times New Roman"/>
          <w:sz w:val="24"/>
          <w:szCs w:val="24"/>
        </w:rPr>
        <w:t xml:space="preserve">1.1 Предметом настоящего технического задания является закупка и поставка </w:t>
      </w:r>
      <w:r>
        <w:rPr>
          <w:rFonts w:ascii="Times New Roman" w:hAnsi="Times New Roman"/>
          <w:sz w:val="24"/>
          <w:szCs w:val="24"/>
        </w:rPr>
        <w:t>МСЧ</w:t>
      </w:r>
      <w:r w:rsidRPr="00712131">
        <w:rPr>
          <w:rFonts w:ascii="Times New Roman" w:hAnsi="Times New Roman"/>
          <w:sz w:val="24"/>
          <w:szCs w:val="24"/>
        </w:rPr>
        <w:t xml:space="preserve"> согласно заказной ведомости </w:t>
      </w:r>
      <w:r w:rsidRPr="00B45D09">
        <w:rPr>
          <w:rFonts w:ascii="Times New Roman" w:hAnsi="Times New Roman"/>
          <w:sz w:val="24"/>
          <w:szCs w:val="24"/>
        </w:rPr>
        <w:t>CNF22-978-ИЯМН.003</w:t>
      </w:r>
      <w:r>
        <w:rPr>
          <w:rFonts w:ascii="Times New Roman" w:hAnsi="Times New Roman"/>
          <w:sz w:val="24"/>
          <w:szCs w:val="24"/>
        </w:rPr>
        <w:t xml:space="preserve"> (накопительная)</w:t>
      </w:r>
      <w:r w:rsidRPr="00B45D09">
        <w:rPr>
          <w:rFonts w:ascii="Times New Roman" w:hAnsi="Times New Roman"/>
          <w:sz w:val="24"/>
          <w:szCs w:val="24"/>
        </w:rPr>
        <w:t xml:space="preserve"> </w:t>
      </w:r>
      <w:r>
        <w:rPr>
          <w:rFonts w:ascii="Times New Roman" w:hAnsi="Times New Roman"/>
          <w:sz w:val="24"/>
          <w:szCs w:val="24"/>
        </w:rPr>
        <w:t>проекта</w:t>
      </w:r>
      <w:r w:rsidRPr="00B45D09">
        <w:rPr>
          <w:rFonts w:ascii="Times New Roman" w:hAnsi="Times New Roman"/>
          <w:sz w:val="24"/>
          <w:szCs w:val="24"/>
        </w:rPr>
        <w:t xml:space="preserve"> CNF22 в целях обеспечения выполнения Государственного контракта № КИ-348-2019</w:t>
      </w:r>
      <w:r>
        <w:rPr>
          <w:rFonts w:ascii="Times New Roman" w:hAnsi="Times New Roman"/>
          <w:sz w:val="24"/>
          <w:szCs w:val="24"/>
        </w:rPr>
        <w:t xml:space="preserve"> </w:t>
      </w:r>
      <w:r w:rsidRPr="00B45D09">
        <w:rPr>
          <w:rFonts w:ascii="Times New Roman" w:hAnsi="Times New Roman"/>
          <w:sz w:val="24"/>
          <w:szCs w:val="24"/>
        </w:rPr>
        <w:t xml:space="preserve">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 Идентификатор государственного контракта 17702017400190000060. </w:t>
      </w:r>
    </w:p>
    <w:p w:rsidR="00A234BE" w:rsidRPr="00712131" w:rsidRDefault="00A234BE" w:rsidP="00A234BE">
      <w:pPr>
        <w:pStyle w:val="af4"/>
        <w:spacing w:line="240" w:lineRule="auto"/>
        <w:ind w:left="0"/>
        <w:jc w:val="both"/>
        <w:rPr>
          <w:rFonts w:ascii="Times New Roman" w:hAnsi="Times New Roman"/>
          <w:color w:val="000000"/>
          <w:sz w:val="24"/>
          <w:szCs w:val="24"/>
        </w:rPr>
      </w:pPr>
      <w:r w:rsidRPr="00712131">
        <w:rPr>
          <w:rFonts w:ascii="Times New Roman" w:hAnsi="Times New Roman"/>
          <w:sz w:val="24"/>
          <w:szCs w:val="24"/>
        </w:rPr>
        <w:t xml:space="preserve">1.2. Порядок поставки Товара: доставка </w:t>
      </w:r>
      <w:r>
        <w:rPr>
          <w:rFonts w:ascii="Times New Roman" w:hAnsi="Times New Roman"/>
          <w:sz w:val="24"/>
          <w:szCs w:val="24"/>
        </w:rPr>
        <w:t xml:space="preserve">осуществляется до склада  Заказчика по адресу </w:t>
      </w:r>
      <w:r w:rsidRPr="00712131">
        <w:rPr>
          <w:rFonts w:ascii="Times New Roman" w:hAnsi="Times New Roman"/>
          <w:sz w:val="24"/>
          <w:szCs w:val="24"/>
        </w:rPr>
        <w:t xml:space="preserve"> </w:t>
      </w:r>
      <w:r w:rsidRPr="00154C5E">
        <w:rPr>
          <w:rFonts w:ascii="Times New Roman" w:hAnsi="Times New Roman"/>
          <w:sz w:val="24"/>
          <w:szCs w:val="24"/>
        </w:rPr>
        <w:t>РФ, Республика Крым, г. Керчь, ул. Танкистов, д. 4.</w:t>
      </w:r>
      <w:r>
        <w:rPr>
          <w:rFonts w:ascii="Times New Roman" w:hAnsi="Times New Roman"/>
          <w:sz w:val="24"/>
          <w:szCs w:val="24"/>
        </w:rPr>
        <w:t xml:space="preserve"> </w:t>
      </w:r>
      <w:r w:rsidRPr="00712131">
        <w:rPr>
          <w:rFonts w:ascii="Times New Roman" w:hAnsi="Times New Roman"/>
          <w:sz w:val="24"/>
          <w:szCs w:val="24"/>
        </w:rPr>
        <w:t>за счёт Поставщика.</w:t>
      </w:r>
    </w:p>
    <w:p w:rsidR="00A234BE" w:rsidRPr="00712131" w:rsidRDefault="00A234BE" w:rsidP="00A234BE">
      <w:pPr>
        <w:pStyle w:val="af4"/>
        <w:spacing w:line="240" w:lineRule="auto"/>
        <w:ind w:left="0"/>
        <w:jc w:val="both"/>
        <w:rPr>
          <w:rFonts w:ascii="Times New Roman" w:hAnsi="Times New Roman"/>
          <w:color w:val="000000"/>
          <w:sz w:val="24"/>
          <w:szCs w:val="24"/>
        </w:rPr>
      </w:pPr>
      <w:r w:rsidRPr="00712131">
        <w:rPr>
          <w:rFonts w:ascii="Times New Roman" w:hAnsi="Times New Roman"/>
          <w:color w:val="000000"/>
          <w:sz w:val="24"/>
          <w:szCs w:val="24"/>
        </w:rPr>
        <w:t>1.3. Условия оплаты: 1 аванс- 50%, , окончательный расчет -50% после приемке на складе Покупателя по количеству и качеству, без замечаний.</w:t>
      </w:r>
    </w:p>
    <w:p w:rsidR="00A234BE" w:rsidRPr="00712131" w:rsidRDefault="00A234BE" w:rsidP="00A234BE">
      <w:pPr>
        <w:pStyle w:val="af4"/>
        <w:spacing w:line="240" w:lineRule="auto"/>
        <w:ind w:left="0"/>
        <w:jc w:val="both"/>
        <w:rPr>
          <w:rFonts w:ascii="Times New Roman" w:hAnsi="Times New Roman"/>
          <w:color w:val="000000"/>
          <w:sz w:val="24"/>
          <w:szCs w:val="24"/>
        </w:rPr>
      </w:pPr>
      <w:r w:rsidRPr="00712131">
        <w:rPr>
          <w:rFonts w:ascii="Times New Roman" w:hAnsi="Times New Roman"/>
          <w:sz w:val="24"/>
          <w:szCs w:val="24"/>
        </w:rPr>
        <w:t xml:space="preserve">1.4. Срок </w:t>
      </w:r>
      <w:r>
        <w:rPr>
          <w:rFonts w:ascii="Times New Roman" w:hAnsi="Times New Roman"/>
          <w:sz w:val="24"/>
          <w:szCs w:val="24"/>
        </w:rPr>
        <w:t>поставки</w:t>
      </w:r>
      <w:r w:rsidRPr="00712131">
        <w:rPr>
          <w:rFonts w:ascii="Times New Roman" w:hAnsi="Times New Roman"/>
          <w:sz w:val="24"/>
          <w:szCs w:val="24"/>
        </w:rPr>
        <w:t xml:space="preserve"> товара: </w:t>
      </w:r>
      <w:r w:rsidRPr="00712131">
        <w:rPr>
          <w:rFonts w:ascii="Times New Roman" w:hAnsi="Times New Roman"/>
          <w:color w:val="000000"/>
          <w:sz w:val="24"/>
          <w:szCs w:val="24"/>
        </w:rPr>
        <w:t xml:space="preserve">не более </w:t>
      </w:r>
      <w:r>
        <w:rPr>
          <w:rFonts w:ascii="Times New Roman" w:hAnsi="Times New Roman"/>
          <w:color w:val="000000"/>
          <w:sz w:val="24"/>
          <w:szCs w:val="24"/>
        </w:rPr>
        <w:t>65</w:t>
      </w:r>
      <w:r w:rsidRPr="00712131">
        <w:rPr>
          <w:rFonts w:ascii="Times New Roman" w:hAnsi="Times New Roman"/>
          <w:color w:val="000000"/>
          <w:sz w:val="24"/>
          <w:szCs w:val="24"/>
        </w:rPr>
        <w:t xml:space="preserve"> календарных дней с момента предоплаты</w:t>
      </w:r>
      <w:r>
        <w:rPr>
          <w:rFonts w:ascii="Times New Roman" w:hAnsi="Times New Roman"/>
          <w:color w:val="000000"/>
          <w:sz w:val="24"/>
          <w:szCs w:val="24"/>
        </w:rPr>
        <w:t>, допускается досрочная поставка по письменному согласованию сторон.</w:t>
      </w:r>
    </w:p>
    <w:p w:rsidR="00A234BE" w:rsidRPr="00712131" w:rsidRDefault="00A234BE" w:rsidP="00A234BE">
      <w:pPr>
        <w:pStyle w:val="af4"/>
        <w:spacing w:line="240" w:lineRule="auto"/>
        <w:ind w:left="0"/>
        <w:jc w:val="both"/>
        <w:rPr>
          <w:rFonts w:ascii="Times New Roman" w:hAnsi="Times New Roman"/>
          <w:color w:val="000000"/>
          <w:sz w:val="24"/>
          <w:szCs w:val="24"/>
        </w:rPr>
      </w:pPr>
      <w:r w:rsidRPr="00712131">
        <w:rPr>
          <w:rFonts w:ascii="Times New Roman" w:hAnsi="Times New Roman"/>
          <w:sz w:val="24"/>
          <w:szCs w:val="24"/>
        </w:rPr>
        <w:t>1.</w:t>
      </w:r>
      <w:r w:rsidRPr="00712131">
        <w:rPr>
          <w:rFonts w:ascii="Times New Roman" w:hAnsi="Times New Roman"/>
          <w:color w:val="000000"/>
          <w:sz w:val="24"/>
          <w:szCs w:val="24"/>
        </w:rPr>
        <w:t xml:space="preserve">5. Поставщик с товаром на завод поставляет следующую комплектацию: оригинал товарных накладных, </w:t>
      </w:r>
      <w:proofErr w:type="gramStart"/>
      <w:r w:rsidRPr="00712131">
        <w:rPr>
          <w:rFonts w:ascii="Times New Roman" w:hAnsi="Times New Roman"/>
          <w:color w:val="000000"/>
          <w:sz w:val="24"/>
          <w:szCs w:val="24"/>
        </w:rPr>
        <w:t>счет-фактуры</w:t>
      </w:r>
      <w:proofErr w:type="gramEnd"/>
      <w:r w:rsidRPr="00712131">
        <w:rPr>
          <w:rFonts w:ascii="Times New Roman" w:hAnsi="Times New Roman"/>
          <w:color w:val="000000"/>
          <w:sz w:val="24"/>
          <w:szCs w:val="24"/>
        </w:rPr>
        <w:t xml:space="preserve">, сертификат </w:t>
      </w:r>
      <w:r>
        <w:rPr>
          <w:rFonts w:ascii="Times New Roman" w:hAnsi="Times New Roman"/>
          <w:color w:val="000000"/>
          <w:sz w:val="24"/>
          <w:szCs w:val="24"/>
        </w:rPr>
        <w:t>качества</w:t>
      </w:r>
      <w:r w:rsidRPr="00712131">
        <w:rPr>
          <w:rFonts w:ascii="Times New Roman" w:hAnsi="Times New Roman"/>
          <w:color w:val="000000"/>
          <w:sz w:val="24"/>
          <w:szCs w:val="24"/>
        </w:rPr>
        <w:t xml:space="preserve"> </w:t>
      </w:r>
      <w:r>
        <w:rPr>
          <w:rFonts w:ascii="Times New Roman" w:hAnsi="Times New Roman"/>
          <w:color w:val="000000"/>
          <w:sz w:val="24"/>
          <w:szCs w:val="24"/>
        </w:rPr>
        <w:t>ОТК</w:t>
      </w:r>
      <w:r w:rsidRPr="00712131">
        <w:rPr>
          <w:rFonts w:ascii="Times New Roman" w:hAnsi="Times New Roman"/>
          <w:color w:val="000000"/>
          <w:sz w:val="24"/>
          <w:szCs w:val="24"/>
        </w:rPr>
        <w:t>, паспорт качества.</w:t>
      </w:r>
      <w:r w:rsidRPr="00712131">
        <w:rPr>
          <w:rFonts w:ascii="Times New Roman" w:hAnsi="Times New Roman"/>
          <w:sz w:val="24"/>
          <w:szCs w:val="24"/>
        </w:rPr>
        <w:t xml:space="preserve"> </w:t>
      </w:r>
      <w:r w:rsidRPr="00712131">
        <w:rPr>
          <w:rFonts w:ascii="Times New Roman" w:hAnsi="Times New Roman"/>
          <w:color w:val="000000"/>
          <w:sz w:val="24"/>
          <w:szCs w:val="24"/>
        </w:rPr>
        <w:t xml:space="preserve">Продукция поставляется  с приемкой </w:t>
      </w:r>
      <w:r>
        <w:rPr>
          <w:rFonts w:ascii="Times New Roman" w:hAnsi="Times New Roman"/>
          <w:color w:val="000000"/>
          <w:sz w:val="24"/>
          <w:szCs w:val="24"/>
        </w:rPr>
        <w:t>ОТК</w:t>
      </w:r>
      <w:r w:rsidRPr="00712131">
        <w:rPr>
          <w:rFonts w:ascii="Times New Roman" w:hAnsi="Times New Roman"/>
          <w:color w:val="000000"/>
          <w:sz w:val="24"/>
          <w:szCs w:val="24"/>
        </w:rPr>
        <w:t>.</w:t>
      </w:r>
    </w:p>
    <w:p w:rsidR="00A234BE" w:rsidRPr="00712131" w:rsidRDefault="00A234BE" w:rsidP="00A234BE">
      <w:pPr>
        <w:pStyle w:val="af4"/>
        <w:spacing w:line="240" w:lineRule="auto"/>
        <w:ind w:left="0"/>
        <w:jc w:val="both"/>
        <w:rPr>
          <w:rFonts w:ascii="Times New Roman" w:hAnsi="Times New Roman"/>
          <w:sz w:val="24"/>
          <w:szCs w:val="24"/>
        </w:rPr>
      </w:pPr>
      <w:r w:rsidRPr="00712131">
        <w:rPr>
          <w:rFonts w:ascii="Times New Roman" w:hAnsi="Times New Roman"/>
          <w:color w:val="000000"/>
          <w:sz w:val="24"/>
          <w:szCs w:val="24"/>
        </w:rPr>
        <w:t>1</w:t>
      </w:r>
      <w:r w:rsidRPr="00712131">
        <w:rPr>
          <w:rFonts w:ascii="Times New Roman" w:hAnsi="Times New Roman"/>
          <w:sz w:val="24"/>
          <w:szCs w:val="24"/>
        </w:rPr>
        <w:t>.</w:t>
      </w:r>
      <w:r>
        <w:rPr>
          <w:rFonts w:ascii="Times New Roman" w:hAnsi="Times New Roman"/>
          <w:sz w:val="24"/>
          <w:szCs w:val="24"/>
        </w:rPr>
        <w:t>6</w:t>
      </w:r>
      <w:r w:rsidRPr="00712131">
        <w:rPr>
          <w:rFonts w:ascii="Times New Roman" w:hAnsi="Times New Roman"/>
          <w:sz w:val="24"/>
          <w:szCs w:val="24"/>
        </w:rPr>
        <w:t>. Перечень необходимого Товара указан в ТЗ:</w:t>
      </w:r>
    </w:p>
    <w:p w:rsidR="00A234BE" w:rsidRPr="00712131" w:rsidRDefault="00A234BE" w:rsidP="00A234BE">
      <w:pPr>
        <w:pStyle w:val="af4"/>
        <w:spacing w:line="240" w:lineRule="auto"/>
        <w:ind w:left="0" w:right="707"/>
        <w:rPr>
          <w:rFonts w:ascii="Times New Roman" w:hAnsi="Times New Roman"/>
          <w:sz w:val="24"/>
          <w:szCs w:val="24"/>
        </w:rPr>
      </w:pPr>
    </w:p>
    <w:tbl>
      <w:tblPr>
        <w:tblW w:w="9229" w:type="dxa"/>
        <w:tblInd w:w="93" w:type="dxa"/>
        <w:tblLook w:val="04A0" w:firstRow="1" w:lastRow="0" w:firstColumn="1" w:lastColumn="0" w:noHBand="0" w:noVBand="1"/>
      </w:tblPr>
      <w:tblGrid>
        <w:gridCol w:w="724"/>
        <w:gridCol w:w="2820"/>
        <w:gridCol w:w="1954"/>
        <w:gridCol w:w="598"/>
        <w:gridCol w:w="851"/>
        <w:gridCol w:w="1016"/>
        <w:gridCol w:w="1266"/>
      </w:tblGrid>
      <w:tr w:rsidR="00A234BE" w:rsidRPr="00026C2D" w:rsidTr="00D25D64">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sidRPr="00026C2D">
              <w:rPr>
                <w:rFonts w:ascii="Times New Roman" w:eastAsia="Times New Roman" w:hAnsi="Times New Roman" w:cs="Times New Roman"/>
                <w:b/>
                <w:sz w:val="20"/>
                <w:szCs w:val="20"/>
                <w:lang w:eastAsia="ru-RU"/>
              </w:rPr>
              <w:t xml:space="preserve">№ </w:t>
            </w:r>
            <w:proofErr w:type="gramStart"/>
            <w:r w:rsidRPr="00026C2D">
              <w:rPr>
                <w:rFonts w:ascii="Times New Roman" w:eastAsia="Times New Roman" w:hAnsi="Times New Roman" w:cs="Times New Roman"/>
                <w:b/>
                <w:sz w:val="20"/>
                <w:szCs w:val="20"/>
                <w:lang w:eastAsia="ru-RU"/>
              </w:rPr>
              <w:t>п</w:t>
            </w:r>
            <w:proofErr w:type="gramEnd"/>
            <w:r w:rsidRPr="00026C2D">
              <w:rPr>
                <w:rFonts w:ascii="Times New Roman" w:eastAsia="Times New Roman" w:hAnsi="Times New Roman" w:cs="Times New Roman"/>
                <w:b/>
                <w:sz w:val="20"/>
                <w:szCs w:val="20"/>
                <w:lang w:eastAsia="ru-RU"/>
              </w:rPr>
              <w:t>/п</w:t>
            </w:r>
          </w:p>
        </w:tc>
        <w:tc>
          <w:tcPr>
            <w:tcW w:w="2820" w:type="dxa"/>
            <w:tcBorders>
              <w:top w:val="single" w:sz="4" w:space="0" w:color="auto"/>
              <w:left w:val="nil"/>
              <w:bottom w:val="single" w:sz="4" w:space="0" w:color="auto"/>
              <w:right w:val="single" w:sz="4" w:space="0" w:color="auto"/>
            </w:tcBorders>
            <w:shd w:val="clear" w:color="000000" w:fill="FFFFFF"/>
            <w:vAlign w:val="center"/>
            <w:hideMark/>
          </w:tcPr>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sidRPr="00026C2D">
              <w:rPr>
                <w:rFonts w:ascii="Times New Roman" w:eastAsia="Times New Roman" w:hAnsi="Times New Roman" w:cs="Times New Roman"/>
                <w:b/>
                <w:sz w:val="20"/>
                <w:szCs w:val="20"/>
                <w:lang w:eastAsia="ru-RU"/>
              </w:rPr>
              <w:t>Чертёж изделия МСЧ</w:t>
            </w:r>
          </w:p>
        </w:tc>
        <w:tc>
          <w:tcPr>
            <w:tcW w:w="1954" w:type="dxa"/>
            <w:tcBorders>
              <w:top w:val="single" w:sz="4" w:space="0" w:color="auto"/>
              <w:left w:val="nil"/>
              <w:bottom w:val="single" w:sz="4" w:space="0" w:color="auto"/>
              <w:right w:val="single" w:sz="4" w:space="0" w:color="auto"/>
            </w:tcBorders>
            <w:shd w:val="clear" w:color="000000" w:fill="FFFFFF"/>
            <w:noWrap/>
            <w:vAlign w:val="center"/>
            <w:hideMark/>
          </w:tcPr>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sidRPr="00026C2D">
              <w:rPr>
                <w:rFonts w:ascii="Times New Roman" w:eastAsia="Times New Roman" w:hAnsi="Times New Roman" w:cs="Times New Roman"/>
                <w:b/>
                <w:sz w:val="20"/>
                <w:szCs w:val="20"/>
                <w:lang w:eastAsia="ru-RU"/>
              </w:rPr>
              <w:t>Наименование изд. МСЧ</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sidRPr="00026C2D">
              <w:rPr>
                <w:rFonts w:ascii="Times New Roman" w:eastAsia="Times New Roman" w:hAnsi="Times New Roman" w:cs="Times New Roman"/>
                <w:b/>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sidRPr="00026C2D">
              <w:rPr>
                <w:rFonts w:ascii="Times New Roman" w:eastAsia="Times New Roman" w:hAnsi="Times New Roman" w:cs="Times New Roman"/>
                <w:b/>
                <w:sz w:val="20"/>
                <w:szCs w:val="20"/>
                <w:lang w:eastAsia="ru-RU"/>
              </w:rPr>
              <w:t>Кол-во</w:t>
            </w:r>
            <w:proofErr w:type="gramStart"/>
            <w:r w:rsidRPr="00026C2D">
              <w:rPr>
                <w:rFonts w:ascii="Times New Roman" w:eastAsia="Times New Roman" w:hAnsi="Times New Roman" w:cs="Times New Roman"/>
                <w:b/>
                <w:sz w:val="20"/>
                <w:szCs w:val="20"/>
                <w:lang w:eastAsia="ru-RU"/>
              </w:rPr>
              <w:t>.</w:t>
            </w:r>
            <w:proofErr w:type="gramEnd"/>
            <w:r w:rsidRPr="00026C2D">
              <w:rPr>
                <w:rFonts w:ascii="Times New Roman" w:eastAsia="Times New Roman" w:hAnsi="Times New Roman" w:cs="Times New Roman"/>
                <w:b/>
                <w:sz w:val="20"/>
                <w:szCs w:val="20"/>
                <w:lang w:eastAsia="ru-RU"/>
              </w:rPr>
              <w:t xml:space="preserve">  </w:t>
            </w:r>
            <w:proofErr w:type="gramStart"/>
            <w:r w:rsidRPr="00026C2D">
              <w:rPr>
                <w:rFonts w:ascii="Times New Roman" w:eastAsia="Times New Roman" w:hAnsi="Times New Roman" w:cs="Times New Roman"/>
                <w:b/>
                <w:sz w:val="20"/>
                <w:szCs w:val="20"/>
                <w:lang w:eastAsia="ru-RU"/>
              </w:rPr>
              <w:t>н</w:t>
            </w:r>
            <w:proofErr w:type="gramEnd"/>
            <w:r w:rsidRPr="00026C2D">
              <w:rPr>
                <w:rFonts w:ascii="Times New Roman" w:eastAsia="Times New Roman" w:hAnsi="Times New Roman" w:cs="Times New Roman"/>
                <w:b/>
                <w:sz w:val="20"/>
                <w:szCs w:val="20"/>
                <w:lang w:eastAsia="ru-RU"/>
              </w:rPr>
              <w:t>а        заказ.</w:t>
            </w:r>
          </w:p>
        </w:tc>
        <w:tc>
          <w:tcPr>
            <w:tcW w:w="1016" w:type="dxa"/>
            <w:tcBorders>
              <w:top w:val="single" w:sz="4" w:space="0" w:color="auto"/>
              <w:left w:val="nil"/>
              <w:bottom w:val="single" w:sz="4" w:space="0" w:color="auto"/>
              <w:right w:val="single" w:sz="4" w:space="0" w:color="auto"/>
            </w:tcBorders>
            <w:shd w:val="clear" w:color="000000" w:fill="FFFFFF"/>
          </w:tcPr>
          <w:p w:rsidR="00A234BE"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Цена за шт. без НДС</w:t>
            </w:r>
          </w:p>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(руб.)</w:t>
            </w:r>
          </w:p>
        </w:tc>
        <w:tc>
          <w:tcPr>
            <w:tcW w:w="1266" w:type="dxa"/>
            <w:tcBorders>
              <w:top w:val="single" w:sz="4" w:space="0" w:color="auto"/>
              <w:left w:val="nil"/>
              <w:bottom w:val="single" w:sz="4" w:space="0" w:color="auto"/>
              <w:right w:val="single" w:sz="4" w:space="0" w:color="auto"/>
            </w:tcBorders>
            <w:shd w:val="clear" w:color="000000" w:fill="FFFFFF"/>
          </w:tcPr>
          <w:p w:rsidR="00A234BE"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Сумма без НДС</w:t>
            </w:r>
          </w:p>
          <w:p w:rsidR="00A234BE" w:rsidRPr="00026C2D" w:rsidRDefault="00A234BE" w:rsidP="00D25D64">
            <w:pPr>
              <w:suppressAutoHyphens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(руб.)</w:t>
            </w:r>
          </w:p>
        </w:tc>
      </w:tr>
      <w:tr w:rsidR="00A234BE" w:rsidRPr="00026C2D" w:rsidTr="00D25D64">
        <w:trPr>
          <w:trHeight w:val="20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w:t>
            </w:r>
          </w:p>
        </w:tc>
        <w:tc>
          <w:tcPr>
            <w:tcW w:w="2820"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РФПИ.332589.015</w:t>
            </w:r>
          </w:p>
        </w:tc>
        <w:tc>
          <w:tcPr>
            <w:tcW w:w="1954"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Бирка</w:t>
            </w:r>
          </w:p>
        </w:tc>
        <w:tc>
          <w:tcPr>
            <w:tcW w:w="598"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217</w:t>
            </w:r>
          </w:p>
        </w:tc>
        <w:tc>
          <w:tcPr>
            <w:tcW w:w="101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w:t>
            </w:r>
          </w:p>
        </w:tc>
        <w:tc>
          <w:tcPr>
            <w:tcW w:w="126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86 800,00</w:t>
            </w:r>
          </w:p>
        </w:tc>
      </w:tr>
      <w:tr w:rsidR="00A234BE" w:rsidRPr="00026C2D" w:rsidTr="00D25D64">
        <w:trPr>
          <w:trHeight w:val="267"/>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ТЛИШ.713161.008</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proofErr w:type="spellStart"/>
            <w:r w:rsidRPr="00026C2D">
              <w:rPr>
                <w:rFonts w:ascii="Times New Roman" w:eastAsia="Times New Roman" w:hAnsi="Times New Roman" w:cs="Times New Roman"/>
                <w:sz w:val="20"/>
                <w:szCs w:val="20"/>
                <w:lang w:eastAsia="ru-RU"/>
              </w:rPr>
              <w:t>Бонка</w:t>
            </w:r>
            <w:proofErr w:type="spellEnd"/>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18</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6 480,00</w:t>
            </w:r>
          </w:p>
        </w:tc>
      </w:tr>
      <w:tr w:rsidR="00A234BE" w:rsidRPr="00026C2D" w:rsidTr="00D25D64">
        <w:trPr>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3</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ТЛИШ.711341.001-01.07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137</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109 600,00</w:t>
            </w:r>
          </w:p>
        </w:tc>
      </w:tr>
      <w:tr w:rsidR="00A234BE" w:rsidRPr="00026C2D" w:rsidTr="00D25D64">
        <w:trPr>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4</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ТЛИШ.711341.001-07.07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7</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1 040,00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7 280,00</w:t>
            </w:r>
          </w:p>
        </w:tc>
      </w:tr>
      <w:tr w:rsidR="00A234BE" w:rsidRPr="00026C2D" w:rsidTr="00D25D64">
        <w:trPr>
          <w:trHeight w:val="22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5</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ТЛИШ.711341.001-00.07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206</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156 560,00</w:t>
            </w:r>
          </w:p>
        </w:tc>
      </w:tr>
      <w:tr w:rsidR="00A234BE" w:rsidRPr="00026C2D" w:rsidTr="00D25D64">
        <w:trPr>
          <w:trHeight w:val="203"/>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6</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ТЛИШ.711341.001-02.07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73</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61 320,00</w:t>
            </w:r>
          </w:p>
        </w:tc>
      </w:tr>
      <w:tr w:rsidR="00A234BE" w:rsidRPr="00026C2D" w:rsidTr="00D25D64">
        <w:trPr>
          <w:trHeight w:val="2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7</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ТЛИШ.711341.001-03.07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220</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193 600,00</w:t>
            </w:r>
          </w:p>
        </w:tc>
      </w:tr>
      <w:tr w:rsidR="00A234BE" w:rsidRPr="00026C2D" w:rsidTr="00D25D64">
        <w:trPr>
          <w:trHeight w:val="281"/>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8</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ТЛИШ.711341.001-04.07</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29</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27 144,00</w:t>
            </w:r>
          </w:p>
        </w:tc>
      </w:tr>
      <w:tr w:rsidR="00A234BE" w:rsidRPr="00026C2D" w:rsidTr="00D25D64">
        <w:trPr>
          <w:trHeight w:val="271"/>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9</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ТЛИШ.711341.001-01.08</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6</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4 800,00</w:t>
            </w:r>
          </w:p>
        </w:tc>
      </w:tr>
      <w:tr w:rsidR="00A234BE" w:rsidRPr="00026C2D" w:rsidTr="00D25D64">
        <w:trPr>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10</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ТЛИШ.711341.001-03.08</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3</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2 640,00</w:t>
            </w:r>
          </w:p>
        </w:tc>
      </w:tr>
      <w:tr w:rsidR="00A234BE" w:rsidRPr="00026C2D" w:rsidTr="00D25D64">
        <w:trPr>
          <w:trHeight w:val="27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11</w:t>
            </w:r>
          </w:p>
        </w:tc>
        <w:tc>
          <w:tcPr>
            <w:tcW w:w="2820"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ТЛИШ.711341.001-01</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Втулка</w:t>
            </w:r>
          </w:p>
        </w:tc>
        <w:tc>
          <w:tcPr>
            <w:tcW w:w="598"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25</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20 000,00</w:t>
            </w:r>
          </w:p>
        </w:tc>
      </w:tr>
      <w:tr w:rsidR="00A234BE" w:rsidRPr="00026C2D" w:rsidTr="00D25D64">
        <w:trPr>
          <w:trHeight w:val="26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12</w:t>
            </w:r>
          </w:p>
        </w:tc>
        <w:tc>
          <w:tcPr>
            <w:tcW w:w="2820"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ТЛИШ.711341.001-02</w:t>
            </w:r>
          </w:p>
        </w:tc>
        <w:tc>
          <w:tcPr>
            <w:tcW w:w="1954"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41</w:t>
            </w:r>
          </w:p>
        </w:tc>
        <w:tc>
          <w:tcPr>
            <w:tcW w:w="101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840,00</w:t>
            </w:r>
          </w:p>
        </w:tc>
        <w:tc>
          <w:tcPr>
            <w:tcW w:w="126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34 440,00</w:t>
            </w:r>
          </w:p>
        </w:tc>
      </w:tr>
      <w:tr w:rsidR="00A234BE" w:rsidRPr="00026C2D" w:rsidTr="00D25D64">
        <w:trPr>
          <w:trHeight w:val="25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13</w:t>
            </w:r>
          </w:p>
        </w:tc>
        <w:tc>
          <w:tcPr>
            <w:tcW w:w="2820"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ТЛИШ.711341.001-03</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Втулка</w:t>
            </w:r>
          </w:p>
        </w:tc>
        <w:tc>
          <w:tcPr>
            <w:tcW w:w="598"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5</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4 400,00</w:t>
            </w:r>
          </w:p>
        </w:tc>
      </w:tr>
      <w:tr w:rsidR="00A234BE" w:rsidRPr="00026C2D" w:rsidTr="00D25D64">
        <w:trPr>
          <w:trHeight w:val="277"/>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14</w:t>
            </w:r>
          </w:p>
        </w:tc>
        <w:tc>
          <w:tcPr>
            <w:tcW w:w="2820"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ТЛИШ.711341.001</w:t>
            </w:r>
          </w:p>
        </w:tc>
        <w:tc>
          <w:tcPr>
            <w:tcW w:w="1954"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Втулка</w:t>
            </w:r>
          </w:p>
        </w:tc>
        <w:tc>
          <w:tcPr>
            <w:tcW w:w="598"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5</w:t>
            </w:r>
          </w:p>
        </w:tc>
        <w:tc>
          <w:tcPr>
            <w:tcW w:w="101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760,00</w:t>
            </w:r>
          </w:p>
        </w:tc>
        <w:tc>
          <w:tcPr>
            <w:tcW w:w="126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3 800,00</w:t>
            </w:r>
          </w:p>
        </w:tc>
      </w:tr>
      <w:tr w:rsidR="00A234BE" w:rsidRPr="00026C2D" w:rsidTr="00D25D64">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15</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РИДФ.364157.001-02 (216-03.354-02)</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леер тросовый  Ø9 L=1275 мм ОСТ5.2124-84</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25 000,00</w:t>
            </w:r>
          </w:p>
        </w:tc>
      </w:tr>
      <w:tr w:rsidR="00A234BE" w:rsidRPr="00026C2D" w:rsidTr="00D25D64">
        <w:trPr>
          <w:trHeight w:val="271"/>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16</w:t>
            </w:r>
          </w:p>
        </w:tc>
        <w:tc>
          <w:tcPr>
            <w:tcW w:w="2820"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РИДФ.364157.001-02 (216-03.354-02)</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леер тросовый  Ø9 L=1300 мм ОСТ5.2124-84</w:t>
            </w:r>
          </w:p>
        </w:tc>
        <w:tc>
          <w:tcPr>
            <w:tcW w:w="598"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25 500,00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A234BE"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76 500,00</w:t>
            </w:r>
          </w:p>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p>
        </w:tc>
      </w:tr>
      <w:tr w:rsidR="00A234BE" w:rsidRPr="00026C2D" w:rsidTr="00D25D64">
        <w:trPr>
          <w:trHeight w:val="2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17</w:t>
            </w:r>
          </w:p>
        </w:tc>
        <w:tc>
          <w:tcPr>
            <w:tcW w:w="2820"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ТЛИШ.741124.010</w:t>
            </w:r>
          </w:p>
        </w:tc>
        <w:tc>
          <w:tcPr>
            <w:tcW w:w="1954"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w:t>
            </w:r>
          </w:p>
        </w:tc>
        <w:tc>
          <w:tcPr>
            <w:tcW w:w="598"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6160</w:t>
            </w:r>
          </w:p>
        </w:tc>
        <w:tc>
          <w:tcPr>
            <w:tcW w:w="101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260,00</w:t>
            </w:r>
          </w:p>
        </w:tc>
        <w:tc>
          <w:tcPr>
            <w:tcW w:w="126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1 601 600,00</w:t>
            </w:r>
          </w:p>
        </w:tc>
      </w:tr>
      <w:tr w:rsidR="00A234BE" w:rsidRPr="00026C2D" w:rsidTr="00D25D64">
        <w:trPr>
          <w:trHeight w:val="27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18</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ТЛИШ.741124.010-01</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229</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87 020,00</w:t>
            </w:r>
          </w:p>
        </w:tc>
      </w:tr>
      <w:tr w:rsidR="00A234BE" w:rsidRPr="00026C2D" w:rsidTr="00D25D64">
        <w:trPr>
          <w:trHeight w:val="26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19</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 141124.011-02 (689-03.082-02)</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90</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28 800,00</w:t>
            </w:r>
          </w:p>
        </w:tc>
      </w:tr>
      <w:tr w:rsidR="00A234BE" w:rsidRPr="00026C2D" w:rsidTr="00D25D64">
        <w:trPr>
          <w:trHeight w:val="2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20</w:t>
            </w:r>
          </w:p>
        </w:tc>
        <w:tc>
          <w:tcPr>
            <w:tcW w:w="2820"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ТЛИШ.741124.010 (689-03.006)</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w:t>
            </w:r>
          </w:p>
        </w:tc>
        <w:tc>
          <w:tcPr>
            <w:tcW w:w="598"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116</w:t>
            </w:r>
          </w:p>
        </w:tc>
        <w:tc>
          <w:tcPr>
            <w:tcW w:w="101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260,00</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30 160,00</w:t>
            </w:r>
          </w:p>
        </w:tc>
      </w:tr>
      <w:tr w:rsidR="00A234BE" w:rsidRPr="00026C2D" w:rsidTr="00D25D64">
        <w:trPr>
          <w:trHeight w:val="2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21</w:t>
            </w:r>
          </w:p>
        </w:tc>
        <w:tc>
          <w:tcPr>
            <w:tcW w:w="2820"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ТЛИШ.741124.011-06</w:t>
            </w:r>
          </w:p>
        </w:tc>
        <w:tc>
          <w:tcPr>
            <w:tcW w:w="1954"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w:t>
            </w:r>
          </w:p>
        </w:tc>
        <w:tc>
          <w:tcPr>
            <w:tcW w:w="598"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w:t>
            </w:r>
          </w:p>
        </w:tc>
        <w:tc>
          <w:tcPr>
            <w:tcW w:w="101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w:t>
            </w:r>
          </w:p>
        </w:tc>
        <w:tc>
          <w:tcPr>
            <w:tcW w:w="1266" w:type="dxa"/>
            <w:tcBorders>
              <w:top w:val="single" w:sz="4" w:space="0" w:color="auto"/>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w:t>
            </w:r>
          </w:p>
        </w:tc>
      </w:tr>
      <w:tr w:rsidR="00A234BE" w:rsidRPr="00026C2D" w:rsidTr="00D25D64">
        <w:trPr>
          <w:trHeight w:val="263"/>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22</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ТЛИШ.741124.011</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Планка заземления ПЛС 25-20</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80 880,00</w:t>
            </w:r>
          </w:p>
        </w:tc>
      </w:tr>
      <w:tr w:rsidR="00A234BE" w:rsidRPr="00026C2D" w:rsidTr="00D25D64">
        <w:trPr>
          <w:trHeight w:val="27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23</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ТЛИШ.746122.002-05</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Стойка</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3</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1 200,00</w:t>
            </w:r>
          </w:p>
        </w:tc>
      </w:tr>
      <w:tr w:rsidR="00A234BE" w:rsidRPr="00026C2D" w:rsidTr="00D25D64">
        <w:trPr>
          <w:trHeight w:val="26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lastRenderedPageBreak/>
              <w:t>24</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CNF22.363212.013</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Стопор</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10</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90 000,00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900 000,00</w:t>
            </w:r>
          </w:p>
        </w:tc>
      </w:tr>
      <w:tr w:rsidR="00A234BE" w:rsidRPr="00026C2D" w:rsidTr="00D25D64">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25</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РИДФ.324714.001-08     (819-01.001-08)</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Ящик</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80 000,00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160 000,00</w:t>
            </w:r>
          </w:p>
        </w:tc>
      </w:tr>
      <w:tr w:rsidR="00A234BE" w:rsidRPr="00026C2D" w:rsidTr="00D25D64">
        <w:trPr>
          <w:trHeight w:val="277"/>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26</w:t>
            </w:r>
          </w:p>
        </w:tc>
        <w:tc>
          <w:tcPr>
            <w:tcW w:w="2820"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РИДФ.324714.001-03     (819-01.001-03)</w:t>
            </w:r>
          </w:p>
        </w:tc>
        <w:tc>
          <w:tcPr>
            <w:tcW w:w="1954"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Ящик</w:t>
            </w:r>
          </w:p>
        </w:tc>
        <w:tc>
          <w:tcPr>
            <w:tcW w:w="598" w:type="dxa"/>
            <w:tcBorders>
              <w:top w:val="nil"/>
              <w:left w:val="nil"/>
              <w:bottom w:val="single" w:sz="4" w:space="0" w:color="auto"/>
              <w:right w:val="single" w:sz="4" w:space="0" w:color="auto"/>
            </w:tcBorders>
            <w:shd w:val="clear" w:color="000000" w:fill="FFFFFF"/>
          </w:tcPr>
          <w:p w:rsidR="00A234BE" w:rsidRPr="00026C2D" w:rsidRDefault="00A234BE" w:rsidP="00D25D64">
            <w:pPr>
              <w:widowControl w:val="0"/>
              <w:suppressAutoHyphens w:val="0"/>
              <w:spacing w:after="0" w:line="240" w:lineRule="auto"/>
              <w:jc w:val="center"/>
              <w:rPr>
                <w:rFonts w:ascii="Times New Roman" w:eastAsia="Times New Roman" w:hAnsi="Times New Roman" w:cs="Times New Roman"/>
                <w:kern w:val="2"/>
                <w:sz w:val="20"/>
                <w:szCs w:val="20"/>
                <w:lang w:val="en-US"/>
              </w:rPr>
            </w:pPr>
            <w:r w:rsidRPr="00026C2D">
              <w:rPr>
                <w:rFonts w:ascii="Times New Roman" w:eastAsia="Times New Roman" w:hAnsi="Times New Roman" w:cs="Times New Roman"/>
                <w:sz w:val="20"/>
                <w:szCs w:val="20"/>
                <w:lang w:eastAsia="ru-RU"/>
              </w:rPr>
              <w:t>шт.</w:t>
            </w:r>
          </w:p>
        </w:tc>
        <w:tc>
          <w:tcPr>
            <w:tcW w:w="851" w:type="dxa"/>
            <w:tcBorders>
              <w:top w:val="nil"/>
              <w:left w:val="nil"/>
              <w:bottom w:val="single" w:sz="4" w:space="0" w:color="auto"/>
              <w:right w:val="single" w:sz="4" w:space="0" w:color="auto"/>
            </w:tcBorders>
            <w:shd w:val="clear" w:color="000000" w:fill="FFFFFF"/>
            <w:noWrap/>
          </w:tcPr>
          <w:p w:rsidR="00A234BE" w:rsidRPr="00026C2D" w:rsidRDefault="00A234BE" w:rsidP="00D25D64">
            <w:pPr>
              <w:suppressAutoHyphens w:val="0"/>
              <w:spacing w:after="0" w:line="240" w:lineRule="auto"/>
              <w:jc w:val="center"/>
              <w:rPr>
                <w:rFonts w:ascii="Times New Roman" w:eastAsia="Times New Roman" w:hAnsi="Times New Roman" w:cs="Times New Roman"/>
                <w:sz w:val="20"/>
                <w:szCs w:val="20"/>
                <w:lang w:eastAsia="ru-RU"/>
              </w:rPr>
            </w:pPr>
            <w:r w:rsidRPr="00026C2D">
              <w:rPr>
                <w:rFonts w:ascii="Times New Roman" w:eastAsia="Times New Roman" w:hAnsi="Times New Roman" w:cs="Times New Roman"/>
                <w:sz w:val="20"/>
                <w:szCs w:val="20"/>
                <w:lang w:eastAsia="ru-RU"/>
              </w:rPr>
              <w:t>9</w:t>
            </w:r>
          </w:p>
        </w:tc>
        <w:tc>
          <w:tcPr>
            <w:tcW w:w="101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44 000,00</w:t>
            </w:r>
          </w:p>
        </w:tc>
        <w:tc>
          <w:tcPr>
            <w:tcW w:w="1266" w:type="dxa"/>
            <w:tcBorders>
              <w:top w:val="nil"/>
              <w:left w:val="nil"/>
              <w:bottom w:val="single" w:sz="4" w:space="0" w:color="auto"/>
              <w:right w:val="single" w:sz="4" w:space="0" w:color="auto"/>
            </w:tcBorders>
            <w:shd w:val="clear" w:color="000000" w:fill="FFFFFF"/>
          </w:tcPr>
          <w:p w:rsidR="00A234BE" w:rsidRPr="00026C2D"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396 000,00</w:t>
            </w:r>
          </w:p>
        </w:tc>
      </w:tr>
      <w:tr w:rsidR="00A234BE" w:rsidRPr="00026C2D" w:rsidTr="00D25D64">
        <w:trPr>
          <w:trHeight w:val="277"/>
        </w:trPr>
        <w:tc>
          <w:tcPr>
            <w:tcW w:w="7963" w:type="dxa"/>
            <w:gridSpan w:val="6"/>
            <w:tcBorders>
              <w:top w:val="single" w:sz="4" w:space="0" w:color="auto"/>
              <w:left w:val="single" w:sz="4" w:space="0" w:color="auto"/>
              <w:bottom w:val="single" w:sz="4" w:space="0" w:color="auto"/>
              <w:right w:val="single" w:sz="4" w:space="0" w:color="auto"/>
            </w:tcBorders>
            <w:shd w:val="clear" w:color="auto" w:fill="auto"/>
            <w:noWrap/>
          </w:tcPr>
          <w:p w:rsidR="00A234BE"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 руб. без НДС </w:t>
            </w:r>
          </w:p>
        </w:tc>
        <w:tc>
          <w:tcPr>
            <w:tcW w:w="1266" w:type="dxa"/>
            <w:tcBorders>
              <w:top w:val="single" w:sz="4" w:space="0" w:color="auto"/>
              <w:left w:val="nil"/>
              <w:bottom w:val="single" w:sz="4" w:space="0" w:color="auto"/>
              <w:right w:val="single" w:sz="4" w:space="0" w:color="auto"/>
            </w:tcBorders>
            <w:shd w:val="clear" w:color="000000" w:fill="FFFFFF"/>
          </w:tcPr>
          <w:p w:rsidR="00A234BE" w:rsidRDefault="00A234BE" w:rsidP="00D25D64">
            <w:pPr>
              <w:suppressAutoHyphens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4 106 304,00</w:t>
            </w:r>
          </w:p>
        </w:tc>
      </w:tr>
    </w:tbl>
    <w:p w:rsidR="00A234BE" w:rsidRPr="00712131" w:rsidRDefault="00A234BE" w:rsidP="00A234BE">
      <w:pPr>
        <w:pStyle w:val="af4"/>
        <w:spacing w:line="240" w:lineRule="auto"/>
        <w:ind w:left="0"/>
        <w:rPr>
          <w:rFonts w:ascii="Times New Roman" w:hAnsi="Times New Roman"/>
          <w:sz w:val="24"/>
          <w:szCs w:val="24"/>
        </w:rPr>
      </w:pPr>
    </w:p>
    <w:p w:rsidR="00A234BE" w:rsidRPr="00712131" w:rsidRDefault="00A234BE" w:rsidP="00A234BE">
      <w:pPr>
        <w:pStyle w:val="af4"/>
        <w:spacing w:line="240" w:lineRule="auto"/>
        <w:ind w:left="0"/>
        <w:rPr>
          <w:rFonts w:ascii="Times New Roman" w:hAnsi="Times New Roman"/>
          <w:sz w:val="24"/>
          <w:szCs w:val="24"/>
        </w:rPr>
      </w:pPr>
    </w:p>
    <w:p w:rsidR="00A234BE" w:rsidRPr="007F099C" w:rsidRDefault="00A234BE" w:rsidP="00A234BE">
      <w:pPr>
        <w:widowControl w:val="0"/>
        <w:tabs>
          <w:tab w:val="left" w:pos="1134"/>
        </w:tabs>
        <w:suppressAutoHyphens w:val="0"/>
        <w:autoSpaceDE w:val="0"/>
        <w:spacing w:after="0" w:line="240" w:lineRule="auto"/>
        <w:jc w:val="both"/>
        <w:rPr>
          <w:rFonts w:ascii="Times New Roman" w:eastAsia="Times New Roman" w:hAnsi="Times New Roman" w:cs="Times New Roman"/>
          <w:sz w:val="24"/>
          <w:szCs w:val="24"/>
          <w:lang w:eastAsia="en-US"/>
        </w:rPr>
      </w:pPr>
      <w:r w:rsidRPr="00712131">
        <w:rPr>
          <w:rFonts w:ascii="Times New Roman" w:hAnsi="Times New Roman"/>
          <w:sz w:val="24"/>
          <w:szCs w:val="24"/>
        </w:rPr>
        <w:t>1.</w:t>
      </w:r>
      <w:r>
        <w:rPr>
          <w:rFonts w:ascii="Times New Roman" w:hAnsi="Times New Roman"/>
          <w:sz w:val="24"/>
          <w:szCs w:val="24"/>
        </w:rPr>
        <w:t>7</w:t>
      </w:r>
      <w:r w:rsidRPr="00712131">
        <w:rPr>
          <w:rFonts w:ascii="Times New Roman" w:hAnsi="Times New Roman"/>
          <w:sz w:val="24"/>
          <w:szCs w:val="24"/>
        </w:rPr>
        <w:t xml:space="preserve">. </w:t>
      </w:r>
      <w:r w:rsidRPr="007F099C">
        <w:rPr>
          <w:rFonts w:ascii="Times New Roman" w:eastAsia="Times New Roman" w:hAnsi="Times New Roman" w:cs="Times New Roman"/>
          <w:sz w:val="24"/>
          <w:szCs w:val="24"/>
          <w:lang w:eastAsia="en-US"/>
        </w:rPr>
        <w:t xml:space="preserve">Средства, выделенные на оплату по Договору, подлежат казначейскому сопровождению </w:t>
      </w:r>
      <w:proofErr w:type="gramStart"/>
      <w:r w:rsidRPr="007F099C">
        <w:rPr>
          <w:rFonts w:ascii="Times New Roman" w:eastAsia="Times New Roman" w:hAnsi="Times New Roman" w:cs="Times New Roman"/>
          <w:sz w:val="24"/>
          <w:szCs w:val="24"/>
          <w:lang w:eastAsia="en-US"/>
        </w:rPr>
        <w:t>согласно</w:t>
      </w:r>
      <w:proofErr w:type="gramEnd"/>
      <w:r w:rsidRPr="007F099C">
        <w:rPr>
          <w:rFonts w:ascii="Times New Roman" w:eastAsia="Times New Roman" w:hAnsi="Times New Roman" w:cs="Times New Roman"/>
          <w:sz w:val="24"/>
          <w:szCs w:val="24"/>
          <w:lang w:eastAsia="en-US"/>
        </w:rPr>
        <w:t xml:space="preserve"> Федерального закона от 06.12.2021 года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234BE" w:rsidRPr="007F099C" w:rsidRDefault="00A234BE" w:rsidP="00A234BE">
      <w:pPr>
        <w:widowControl w:val="0"/>
        <w:tabs>
          <w:tab w:val="left" w:pos="1134"/>
        </w:tabs>
        <w:suppressAutoHyphens w:val="0"/>
        <w:autoSpaceDE w:val="0"/>
        <w:spacing w:after="0" w:line="240" w:lineRule="auto"/>
        <w:jc w:val="both"/>
        <w:rPr>
          <w:rFonts w:ascii="Times New Roman" w:eastAsia="Times New Roman" w:hAnsi="Times New Roman" w:cs="Times New Roman"/>
          <w:sz w:val="24"/>
          <w:szCs w:val="24"/>
          <w:lang w:eastAsia="en-US"/>
        </w:rPr>
      </w:pPr>
      <w:r w:rsidRPr="007F099C">
        <w:rPr>
          <w:rFonts w:ascii="Times New Roman" w:eastAsia="Times New Roman" w:hAnsi="Times New Roman" w:cs="Times New Roman"/>
          <w:sz w:val="24"/>
          <w:szCs w:val="24"/>
          <w:lang w:eastAsia="en-US"/>
        </w:rPr>
        <w:t>1.8. Расчеты по Договору осуществляются с применением Казначейского сопровождения обязательств (аванс в форме Казначейского сопровождения обязательств) в установленном Министерством финансов Российской Федерации порядке.</w:t>
      </w:r>
    </w:p>
    <w:p w:rsidR="00A234BE" w:rsidRPr="007F099C" w:rsidRDefault="00A234BE" w:rsidP="00A234BE">
      <w:pPr>
        <w:widowControl w:val="0"/>
        <w:tabs>
          <w:tab w:val="left" w:pos="1134"/>
        </w:tabs>
        <w:suppressAutoHyphens w:val="0"/>
        <w:autoSpaceDE w:val="0"/>
        <w:spacing w:after="0" w:line="240" w:lineRule="auto"/>
        <w:jc w:val="both"/>
        <w:rPr>
          <w:rFonts w:ascii="Times New Roman" w:eastAsia="Times New Roman" w:hAnsi="Times New Roman" w:cs="Times New Roman"/>
          <w:sz w:val="24"/>
          <w:szCs w:val="24"/>
          <w:lang w:eastAsia="en-US"/>
        </w:rPr>
      </w:pPr>
      <w:r w:rsidRPr="007F099C">
        <w:rPr>
          <w:rFonts w:ascii="Times New Roman" w:eastAsia="Times New Roman" w:hAnsi="Times New Roman" w:cs="Times New Roman"/>
          <w:sz w:val="24"/>
          <w:szCs w:val="24"/>
          <w:lang w:eastAsia="en-US"/>
        </w:rPr>
        <w:t>1.9. Расчеты по полученному Казначейскому сопровождению обязательств осуществляются в порядке, определенном действующим законодательством.</w:t>
      </w:r>
    </w:p>
    <w:p w:rsidR="00A234BE" w:rsidRPr="007F099C" w:rsidRDefault="00A234BE" w:rsidP="00A234BE">
      <w:pPr>
        <w:widowControl w:val="0"/>
        <w:suppressAutoHyphens w:val="0"/>
        <w:autoSpaceDE w:val="0"/>
        <w:spacing w:after="0" w:line="240" w:lineRule="auto"/>
        <w:jc w:val="both"/>
        <w:rPr>
          <w:rFonts w:ascii="Times New Roman" w:eastAsia="Times New Roman" w:hAnsi="Times New Roman" w:cs="Times New Roman"/>
          <w:sz w:val="24"/>
          <w:szCs w:val="24"/>
          <w:lang w:eastAsia="en-US"/>
        </w:rPr>
      </w:pPr>
      <w:r w:rsidRPr="007F099C">
        <w:rPr>
          <w:rFonts w:ascii="Times New Roman" w:eastAsia="Times New Roman" w:hAnsi="Times New Roman" w:cs="Times New Roman"/>
          <w:sz w:val="24"/>
          <w:szCs w:val="24"/>
          <w:lang w:eastAsia="en-US"/>
        </w:rPr>
        <w:t>1.10. 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234BE" w:rsidRPr="007F099C" w:rsidRDefault="00A234BE" w:rsidP="00A234BE">
      <w:pPr>
        <w:widowControl w:val="0"/>
        <w:tabs>
          <w:tab w:val="left" w:pos="1134"/>
        </w:tabs>
        <w:suppressAutoHyphens w:val="0"/>
        <w:autoSpaceDE w:val="0"/>
        <w:spacing w:after="0" w:line="240" w:lineRule="auto"/>
        <w:jc w:val="both"/>
        <w:rPr>
          <w:rFonts w:ascii="Times New Roman" w:eastAsia="Times New Roman" w:hAnsi="Times New Roman" w:cs="Times New Roman"/>
          <w:sz w:val="24"/>
          <w:szCs w:val="24"/>
          <w:lang w:eastAsia="en-US"/>
        </w:rPr>
      </w:pPr>
      <w:r w:rsidRPr="007F099C">
        <w:rPr>
          <w:rFonts w:ascii="Times New Roman" w:eastAsia="Times New Roman" w:hAnsi="Times New Roman" w:cs="Times New Roman"/>
          <w:sz w:val="24"/>
          <w:szCs w:val="24"/>
          <w:lang w:eastAsia="en-US"/>
        </w:rPr>
        <w:t>1.11. Основанием для открытия Поставщику указанного лицевого счета, является настоящий Договор подписанный сторонами.</w:t>
      </w:r>
    </w:p>
    <w:p w:rsidR="00A234BE" w:rsidRPr="007F099C" w:rsidRDefault="00A234BE" w:rsidP="00A234BE">
      <w:pPr>
        <w:widowControl w:val="0"/>
        <w:suppressAutoHyphens w:val="0"/>
        <w:autoSpaceDE w:val="0"/>
        <w:spacing w:after="0" w:line="240" w:lineRule="auto"/>
        <w:jc w:val="both"/>
        <w:rPr>
          <w:rFonts w:ascii="Times New Roman" w:eastAsia="Times New Roman" w:hAnsi="Times New Roman" w:cs="Times New Roman"/>
          <w:iCs/>
          <w:sz w:val="24"/>
          <w:szCs w:val="24"/>
          <w:lang w:eastAsia="en-US"/>
        </w:rPr>
      </w:pPr>
      <w:r w:rsidRPr="007F099C">
        <w:rPr>
          <w:rFonts w:ascii="Times New Roman" w:eastAsia="Times New Roman" w:hAnsi="Times New Roman" w:cs="Times New Roman"/>
          <w:iCs/>
          <w:sz w:val="24"/>
          <w:szCs w:val="24"/>
          <w:lang w:eastAsia="en-US"/>
        </w:rPr>
        <w:t xml:space="preserve">1.12. При привлечении </w:t>
      </w:r>
      <w:r w:rsidRPr="007F099C">
        <w:rPr>
          <w:rFonts w:ascii="Times New Roman" w:eastAsia="Times New Roman" w:hAnsi="Times New Roman" w:cs="Times New Roman"/>
          <w:sz w:val="24"/>
          <w:szCs w:val="24"/>
          <w:lang w:eastAsia="en-US"/>
        </w:rPr>
        <w:t>Поставщиком</w:t>
      </w:r>
      <w:r w:rsidRPr="007F099C">
        <w:rPr>
          <w:rFonts w:ascii="Times New Roman" w:eastAsia="Times New Roman" w:hAnsi="Times New Roman" w:cs="Times New Roman"/>
          <w:iCs/>
          <w:sz w:val="24"/>
          <w:szCs w:val="24"/>
          <w:lang w:eastAsia="en-US"/>
        </w:rPr>
        <w:t xml:space="preserve"> соисполнителей для выполнения Договора, необходимо в заключаемых договорах с соисполнителями, в случае применения в них Казначейского сопровождения обязательств, обязательно указывать:</w:t>
      </w:r>
    </w:p>
    <w:p w:rsidR="00A234BE" w:rsidRPr="007F099C" w:rsidRDefault="00A234BE" w:rsidP="00A234BE">
      <w:pPr>
        <w:widowControl w:val="0"/>
        <w:suppressAutoHyphens w:val="0"/>
        <w:autoSpaceDE w:val="0"/>
        <w:spacing w:after="0" w:line="240" w:lineRule="auto"/>
        <w:ind w:firstLine="709"/>
        <w:jc w:val="both"/>
        <w:rPr>
          <w:rFonts w:ascii="Times New Roman" w:eastAsia="Times New Roman" w:hAnsi="Times New Roman" w:cs="Times New Roman"/>
          <w:iCs/>
          <w:sz w:val="24"/>
          <w:szCs w:val="24"/>
          <w:lang w:eastAsia="en-US"/>
        </w:rPr>
      </w:pPr>
      <w:proofErr w:type="gramStart"/>
      <w:r w:rsidRPr="007F099C">
        <w:rPr>
          <w:rFonts w:ascii="Times New Roman" w:eastAsia="Times New Roman" w:hAnsi="Times New Roman" w:cs="Times New Roman"/>
          <w:iCs/>
          <w:sz w:val="24"/>
          <w:szCs w:val="24"/>
          <w:lang w:eastAsia="en-U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roofErr w:type="gramEnd"/>
    </w:p>
    <w:p w:rsidR="00A234BE" w:rsidRPr="007F099C" w:rsidRDefault="00A234BE" w:rsidP="00A234BE">
      <w:pPr>
        <w:widowControl w:val="0"/>
        <w:suppressAutoHyphens w:val="0"/>
        <w:autoSpaceDE w:val="0"/>
        <w:spacing w:after="0" w:line="240" w:lineRule="auto"/>
        <w:ind w:firstLine="709"/>
        <w:jc w:val="both"/>
        <w:rPr>
          <w:rFonts w:ascii="Times New Roman" w:eastAsia="Times New Roman" w:hAnsi="Times New Roman" w:cs="Times New Roman"/>
          <w:iCs/>
          <w:sz w:val="24"/>
          <w:szCs w:val="24"/>
          <w:lang w:eastAsia="en-US"/>
        </w:rPr>
      </w:pPr>
      <w:r w:rsidRPr="007F099C">
        <w:rPr>
          <w:rFonts w:ascii="Times New Roman" w:eastAsia="Times New Roman" w:hAnsi="Times New Roman" w:cs="Times New Roman"/>
          <w:iCs/>
          <w:sz w:val="24"/>
          <w:szCs w:val="24"/>
          <w:lang w:eastAsia="en-US"/>
        </w:rPr>
        <w:t>- условия о применении Казначейского сопровождения обязательств в установленном Министерством финансов Российской Федерации порядке.</w:t>
      </w:r>
    </w:p>
    <w:p w:rsidR="00A234BE" w:rsidRDefault="00A234BE" w:rsidP="00A234BE">
      <w:pPr>
        <w:widowControl w:val="0"/>
        <w:suppressAutoHyphens w:val="0"/>
        <w:autoSpaceDE w:val="0"/>
        <w:spacing w:after="0" w:line="240" w:lineRule="auto"/>
        <w:jc w:val="both"/>
        <w:rPr>
          <w:rFonts w:ascii="Times New Roman" w:hAnsi="Times New Roman"/>
          <w:sz w:val="24"/>
          <w:szCs w:val="24"/>
        </w:rPr>
      </w:pPr>
      <w:r w:rsidRPr="007F099C">
        <w:rPr>
          <w:rFonts w:ascii="Times New Roman" w:eastAsia="Times New Roman" w:hAnsi="Times New Roman" w:cs="Times New Roman"/>
          <w:sz w:val="24"/>
          <w:szCs w:val="24"/>
          <w:lang w:eastAsia="en-US"/>
        </w:rPr>
        <w:t>1.13. 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w:t>
      </w:r>
      <w:r w:rsidRPr="007F099C">
        <w:rPr>
          <w:rFonts w:ascii="Times New Roman" w:hAnsi="Times New Roman"/>
          <w:color w:val="000000"/>
          <w:sz w:val="24"/>
          <w:szCs w:val="24"/>
        </w:rPr>
        <w:br/>
      </w:r>
      <w:r>
        <w:rPr>
          <w:rFonts w:ascii="Times New Roman" w:hAnsi="Times New Roman"/>
          <w:sz w:val="24"/>
          <w:szCs w:val="24"/>
        </w:rPr>
        <w:t>1.14.</w:t>
      </w:r>
      <w:r w:rsidRPr="00712131">
        <w:rPr>
          <w:rFonts w:ascii="Times New Roman" w:hAnsi="Times New Roman"/>
          <w:sz w:val="24"/>
          <w:szCs w:val="24"/>
        </w:rPr>
        <w:t xml:space="preserve">   В стоимость Товара включена доставка до склада Заказчика, расходы по уплате налогов и сборов, а так же другие обязательные платежи.</w:t>
      </w:r>
    </w:p>
    <w:p w:rsidR="00A234BE" w:rsidRDefault="00A234BE" w:rsidP="00A234BE">
      <w:pPr>
        <w:pStyle w:val="af4"/>
        <w:spacing w:after="0" w:line="240" w:lineRule="auto"/>
        <w:ind w:left="0"/>
        <w:jc w:val="both"/>
        <w:rPr>
          <w:rFonts w:ascii="Times New Roman" w:hAnsi="Times New Roman"/>
          <w:sz w:val="24"/>
          <w:szCs w:val="24"/>
        </w:rPr>
      </w:pPr>
    </w:p>
    <w:p w:rsidR="00A234BE" w:rsidRPr="001E57EA" w:rsidRDefault="00A234BE" w:rsidP="00A234BE">
      <w:pPr>
        <w:pStyle w:val="af4"/>
        <w:spacing w:after="0" w:line="240" w:lineRule="auto"/>
        <w:ind w:left="0"/>
        <w:jc w:val="both"/>
        <w:rPr>
          <w:rFonts w:ascii="Times New Roman" w:hAnsi="Times New Roman"/>
          <w:b/>
          <w:sz w:val="24"/>
          <w:szCs w:val="24"/>
        </w:rPr>
      </w:pPr>
      <w:r w:rsidRPr="001E57EA">
        <w:rPr>
          <w:rFonts w:ascii="Times New Roman" w:hAnsi="Times New Roman"/>
          <w:b/>
          <w:sz w:val="24"/>
          <w:szCs w:val="24"/>
        </w:rPr>
        <w:t>2.  Требования к качеству и безопасности товара:</w:t>
      </w:r>
    </w:p>
    <w:p w:rsidR="00A234BE" w:rsidRPr="00712131" w:rsidRDefault="00A234BE" w:rsidP="00A234BE">
      <w:pPr>
        <w:spacing w:after="0" w:line="240" w:lineRule="auto"/>
        <w:jc w:val="both"/>
        <w:rPr>
          <w:rFonts w:ascii="Times New Roman" w:hAnsi="Times New Roman" w:cs="Times New Roman"/>
          <w:sz w:val="24"/>
          <w:szCs w:val="24"/>
        </w:rPr>
      </w:pPr>
      <w:r w:rsidRPr="00712131">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A234BE" w:rsidRPr="00712131" w:rsidRDefault="00A234BE" w:rsidP="00A234BE">
      <w:pPr>
        <w:pStyle w:val="af4"/>
        <w:spacing w:after="0" w:line="240" w:lineRule="auto"/>
        <w:ind w:left="0"/>
        <w:jc w:val="both"/>
        <w:rPr>
          <w:rFonts w:ascii="Times New Roman" w:eastAsia="Times New Roman" w:hAnsi="Times New Roman"/>
          <w:sz w:val="24"/>
          <w:szCs w:val="24"/>
          <w:lang w:eastAsia="ru-RU"/>
        </w:rPr>
      </w:pPr>
      <w:r w:rsidRPr="00712131">
        <w:rPr>
          <w:rFonts w:ascii="Times New Roman" w:eastAsia="Times New Roman" w:hAnsi="Times New Roman"/>
          <w:sz w:val="24"/>
          <w:szCs w:val="24"/>
          <w:lang w:eastAsia="ru-RU"/>
        </w:rPr>
        <w:t>- национальные стандарты РФ;</w:t>
      </w:r>
    </w:p>
    <w:p w:rsidR="00A234BE" w:rsidRPr="00712131" w:rsidRDefault="00A234BE" w:rsidP="00A234BE">
      <w:pPr>
        <w:pStyle w:val="af4"/>
        <w:spacing w:after="0" w:line="240" w:lineRule="auto"/>
        <w:ind w:left="0"/>
        <w:jc w:val="both"/>
        <w:rPr>
          <w:rFonts w:ascii="Times New Roman" w:eastAsia="Times New Roman" w:hAnsi="Times New Roman"/>
          <w:sz w:val="24"/>
          <w:szCs w:val="24"/>
          <w:lang w:eastAsia="ru-RU"/>
        </w:rPr>
      </w:pPr>
      <w:r w:rsidRPr="00712131">
        <w:rPr>
          <w:rFonts w:ascii="Times New Roman" w:eastAsia="Times New Roman" w:hAnsi="Times New Roman"/>
          <w:sz w:val="24"/>
          <w:szCs w:val="24"/>
          <w:lang w:eastAsia="ru-RU"/>
        </w:rPr>
        <w:t>- правила по стандартизации, нормы и рекомендации в области стандартизации;</w:t>
      </w:r>
    </w:p>
    <w:p w:rsidR="00A234BE" w:rsidRDefault="00A234BE" w:rsidP="00A234BE">
      <w:pPr>
        <w:pStyle w:val="af4"/>
        <w:spacing w:after="0" w:line="240" w:lineRule="auto"/>
        <w:ind w:left="0"/>
        <w:jc w:val="both"/>
        <w:rPr>
          <w:rFonts w:ascii="Times New Roman" w:eastAsia="Times New Roman" w:hAnsi="Times New Roman"/>
          <w:sz w:val="24"/>
          <w:szCs w:val="24"/>
          <w:lang w:eastAsia="ru-RU"/>
        </w:rPr>
      </w:pPr>
      <w:r w:rsidRPr="00712131">
        <w:rPr>
          <w:rFonts w:ascii="Times New Roman" w:eastAsia="Times New Roman" w:hAnsi="Times New Roman"/>
          <w:sz w:val="24"/>
          <w:szCs w:val="24"/>
          <w:lang w:eastAsia="ru-RU"/>
        </w:rPr>
        <w:t>- общероссийские классификаторы технико-экономической и социальной информации.</w:t>
      </w:r>
    </w:p>
    <w:p w:rsidR="00A234BE" w:rsidRPr="00712131" w:rsidRDefault="00A234BE" w:rsidP="00A234BE">
      <w:pPr>
        <w:pStyle w:val="af4"/>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9675E">
        <w:rPr>
          <w:rFonts w:ascii="Times New Roman" w:eastAsia="Times New Roman" w:hAnsi="Times New Roman"/>
          <w:sz w:val="24"/>
          <w:szCs w:val="24"/>
          <w:lang w:eastAsia="ru-RU"/>
        </w:rPr>
        <w:t xml:space="preserve"> соответствует требованиям действующего законодательства РФ, стандартам (ГОСТ или ТУ), конструкторской документации (КД), нормативно-технической документации (НТД).</w:t>
      </w:r>
    </w:p>
    <w:p w:rsidR="00A234BE" w:rsidRPr="00712131" w:rsidRDefault="00A234BE" w:rsidP="00A234BE">
      <w:pPr>
        <w:suppressAutoHyphens w:val="0"/>
        <w:spacing w:after="0" w:line="240" w:lineRule="auto"/>
        <w:contextualSpacing/>
        <w:jc w:val="both"/>
        <w:rPr>
          <w:rFonts w:ascii="Times New Roman" w:hAnsi="Times New Roman" w:cs="Times New Roman"/>
          <w:sz w:val="24"/>
          <w:szCs w:val="24"/>
          <w:lang w:eastAsia="ru-RU"/>
        </w:rPr>
      </w:pPr>
      <w:r w:rsidRPr="00712131">
        <w:rPr>
          <w:rFonts w:ascii="Times New Roman" w:hAnsi="Times New Roman" w:cs="Times New Roman"/>
          <w:sz w:val="24"/>
          <w:szCs w:val="24"/>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234BE" w:rsidRPr="00712131" w:rsidRDefault="00A234BE" w:rsidP="00A234BE">
      <w:pPr>
        <w:suppressAutoHyphens w:val="0"/>
        <w:spacing w:line="240" w:lineRule="auto"/>
        <w:contextualSpacing/>
        <w:jc w:val="both"/>
        <w:rPr>
          <w:rFonts w:ascii="Times New Roman" w:hAnsi="Times New Roman" w:cs="Times New Roman"/>
          <w:sz w:val="24"/>
          <w:szCs w:val="24"/>
          <w:lang w:eastAsia="ru-RU"/>
        </w:rPr>
      </w:pPr>
      <w:r w:rsidRPr="00712131">
        <w:rPr>
          <w:rFonts w:ascii="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A234BE" w:rsidRPr="00712131" w:rsidRDefault="00A234BE" w:rsidP="00A234BE">
      <w:pPr>
        <w:suppressAutoHyphens w:val="0"/>
        <w:spacing w:line="240" w:lineRule="auto"/>
        <w:contextualSpacing/>
        <w:jc w:val="both"/>
        <w:rPr>
          <w:rFonts w:ascii="Times New Roman" w:hAnsi="Times New Roman" w:cs="Times New Roman"/>
          <w:sz w:val="24"/>
          <w:szCs w:val="24"/>
          <w:lang w:eastAsia="ru-RU"/>
        </w:rPr>
      </w:pPr>
      <w:r w:rsidRPr="00712131">
        <w:rPr>
          <w:rFonts w:ascii="Times New Roman" w:hAnsi="Times New Roman" w:cs="Times New Roman"/>
          <w:sz w:val="24"/>
          <w:szCs w:val="24"/>
          <w:lang w:eastAsia="ru-RU"/>
        </w:rPr>
        <w:t>2.4. Риск случайного повреждения или гибели товара до получения его Заказчиком на собственном складе, несет Поставщик.</w:t>
      </w:r>
    </w:p>
    <w:p w:rsidR="00A234BE" w:rsidRPr="001E57EA" w:rsidRDefault="00A234BE" w:rsidP="00A234BE">
      <w:pPr>
        <w:pStyle w:val="af4"/>
        <w:ind w:left="0"/>
        <w:jc w:val="both"/>
        <w:rPr>
          <w:rFonts w:ascii="Times New Roman" w:hAnsi="Times New Roman"/>
          <w:b/>
          <w:sz w:val="24"/>
          <w:szCs w:val="24"/>
          <w:lang w:eastAsia="ru-RU"/>
        </w:rPr>
      </w:pPr>
      <w:r w:rsidRPr="001E57EA">
        <w:rPr>
          <w:rFonts w:ascii="Times New Roman" w:hAnsi="Times New Roman"/>
          <w:b/>
          <w:sz w:val="24"/>
          <w:szCs w:val="24"/>
          <w:lang w:eastAsia="ru-RU"/>
        </w:rPr>
        <w:t>3.Требования к техническим характеристикам товара и условиям договора:</w:t>
      </w:r>
    </w:p>
    <w:p w:rsidR="00A234BE" w:rsidRPr="00712131" w:rsidRDefault="00A234BE" w:rsidP="00A234BE">
      <w:pPr>
        <w:pStyle w:val="af4"/>
        <w:ind w:left="0"/>
        <w:jc w:val="both"/>
        <w:rPr>
          <w:rFonts w:ascii="Times New Roman" w:hAnsi="Times New Roman"/>
          <w:sz w:val="24"/>
          <w:szCs w:val="24"/>
          <w:lang w:eastAsia="ru-RU"/>
        </w:rPr>
      </w:pPr>
      <w:r w:rsidRPr="00712131">
        <w:rPr>
          <w:rFonts w:ascii="Times New Roman" w:hAnsi="Times New Roman"/>
          <w:sz w:val="24"/>
          <w:szCs w:val="24"/>
          <w:lang w:eastAsia="ru-RU"/>
        </w:rPr>
        <w:lastRenderedPageBreak/>
        <w:t>3.1. Товар должен соответствовать всем критериям, описанным в пункте 1 настоящего Технического задания.</w:t>
      </w:r>
    </w:p>
    <w:p w:rsidR="00A234BE" w:rsidRPr="00712131" w:rsidRDefault="00A234BE" w:rsidP="00A234BE">
      <w:pPr>
        <w:pStyle w:val="af4"/>
        <w:spacing w:line="240" w:lineRule="auto"/>
        <w:ind w:left="0"/>
        <w:jc w:val="both"/>
        <w:rPr>
          <w:rFonts w:ascii="Times New Roman" w:hAnsi="Times New Roman"/>
          <w:sz w:val="24"/>
          <w:szCs w:val="24"/>
          <w:lang w:eastAsia="ru-RU"/>
        </w:rPr>
      </w:pPr>
      <w:r w:rsidRPr="00712131">
        <w:rPr>
          <w:rFonts w:ascii="Times New Roman" w:hAnsi="Times New Roman"/>
          <w:sz w:val="24"/>
          <w:szCs w:val="24"/>
          <w:lang w:eastAsia="ru-RU"/>
        </w:rPr>
        <w:t>3.</w:t>
      </w:r>
      <w:r>
        <w:rPr>
          <w:rFonts w:ascii="Times New Roman" w:hAnsi="Times New Roman"/>
          <w:sz w:val="24"/>
          <w:szCs w:val="24"/>
          <w:lang w:eastAsia="ru-RU"/>
        </w:rPr>
        <w:t>2</w:t>
      </w:r>
      <w:r w:rsidRPr="00712131">
        <w:rPr>
          <w:rFonts w:ascii="Times New Roman" w:hAnsi="Times New Roman"/>
          <w:sz w:val="24"/>
          <w:szCs w:val="24"/>
          <w:lang w:eastAsia="ru-RU"/>
        </w:rPr>
        <w:t xml:space="preserve">.  Срок </w:t>
      </w:r>
      <w:r>
        <w:rPr>
          <w:rFonts w:ascii="Times New Roman" w:hAnsi="Times New Roman"/>
          <w:sz w:val="24"/>
          <w:szCs w:val="24"/>
          <w:lang w:eastAsia="ru-RU"/>
        </w:rPr>
        <w:t>поставки</w:t>
      </w:r>
      <w:r w:rsidRPr="00712131">
        <w:rPr>
          <w:rFonts w:ascii="Times New Roman" w:hAnsi="Times New Roman"/>
          <w:sz w:val="24"/>
          <w:szCs w:val="24"/>
          <w:lang w:eastAsia="ru-RU"/>
        </w:rPr>
        <w:t xml:space="preserve"> товара: не более </w:t>
      </w:r>
      <w:r>
        <w:rPr>
          <w:rFonts w:ascii="Times New Roman" w:hAnsi="Times New Roman"/>
          <w:sz w:val="24"/>
          <w:szCs w:val="24"/>
          <w:lang w:eastAsia="ru-RU"/>
        </w:rPr>
        <w:t>65</w:t>
      </w:r>
      <w:r w:rsidRPr="00712131">
        <w:rPr>
          <w:rFonts w:ascii="Times New Roman" w:hAnsi="Times New Roman"/>
          <w:sz w:val="24"/>
          <w:szCs w:val="24"/>
          <w:lang w:eastAsia="ru-RU"/>
        </w:rPr>
        <w:t xml:space="preserve"> календарных дней с момента предоплаты.</w:t>
      </w:r>
    </w:p>
    <w:p w:rsidR="00A234BE" w:rsidRDefault="00A234BE" w:rsidP="00A234BE">
      <w:pPr>
        <w:pStyle w:val="af4"/>
        <w:spacing w:line="240" w:lineRule="auto"/>
        <w:ind w:left="0"/>
        <w:jc w:val="both"/>
        <w:rPr>
          <w:rFonts w:ascii="Times New Roman" w:hAnsi="Times New Roman"/>
          <w:sz w:val="24"/>
          <w:szCs w:val="24"/>
        </w:rPr>
      </w:pPr>
      <w:r w:rsidRPr="00712131">
        <w:rPr>
          <w:rFonts w:ascii="Times New Roman" w:hAnsi="Times New Roman"/>
          <w:sz w:val="24"/>
          <w:szCs w:val="24"/>
          <w:lang w:eastAsia="ru-RU"/>
        </w:rPr>
        <w:t xml:space="preserve">3.2.1. Условия поставки: </w:t>
      </w:r>
      <w:r w:rsidRPr="00154C5E">
        <w:rPr>
          <w:rFonts w:ascii="Times New Roman" w:hAnsi="Times New Roman"/>
          <w:sz w:val="24"/>
          <w:szCs w:val="24"/>
        </w:rPr>
        <w:t>доставка осуществляется до склада  Заказчика по адресу  РФ, Республика Крым, г. Керчь, ул. Танкистов, д. 4. за счёт Поставщика.</w:t>
      </w:r>
    </w:p>
    <w:p w:rsidR="00A234BE" w:rsidRPr="00712131" w:rsidRDefault="00A234BE" w:rsidP="00A234BE">
      <w:pPr>
        <w:pStyle w:val="af4"/>
        <w:spacing w:line="240" w:lineRule="auto"/>
        <w:ind w:left="0"/>
        <w:jc w:val="both"/>
        <w:rPr>
          <w:rFonts w:ascii="Times New Roman" w:hAnsi="Times New Roman"/>
          <w:sz w:val="24"/>
          <w:szCs w:val="24"/>
          <w:lang w:eastAsia="ru-RU"/>
        </w:rPr>
      </w:pPr>
      <w:r w:rsidRPr="00712131">
        <w:rPr>
          <w:rFonts w:ascii="Times New Roman" w:hAnsi="Times New Roman"/>
          <w:sz w:val="24"/>
          <w:szCs w:val="24"/>
          <w:lang w:eastAsia="ru-RU"/>
        </w:rPr>
        <w:t xml:space="preserve">3.3. Поставка товара считается завершенной после приемки всего товара Заказчиком на собственном складе, при наличии соответствующей гарантийной и технической документации на поставляемый товар. Транспортировка на склад Заказчика осуществляется за счет </w:t>
      </w:r>
      <w:r w:rsidRPr="000760C2">
        <w:rPr>
          <w:rFonts w:ascii="Times New Roman" w:hAnsi="Times New Roman"/>
          <w:sz w:val="24"/>
          <w:szCs w:val="24"/>
          <w:lang w:eastAsia="ru-RU"/>
        </w:rPr>
        <w:t>Поставщика</w:t>
      </w:r>
      <w:r w:rsidRPr="00712131">
        <w:rPr>
          <w:rFonts w:ascii="Times New Roman" w:hAnsi="Times New Roman"/>
          <w:sz w:val="24"/>
          <w:szCs w:val="24"/>
          <w:lang w:eastAsia="ru-RU"/>
        </w:rPr>
        <w:t>.</w:t>
      </w:r>
    </w:p>
    <w:p w:rsidR="00A234BE" w:rsidRPr="00712131" w:rsidRDefault="00A234BE" w:rsidP="00A234BE">
      <w:pPr>
        <w:pStyle w:val="af4"/>
        <w:spacing w:after="0" w:line="240" w:lineRule="auto"/>
        <w:ind w:left="0"/>
        <w:jc w:val="both"/>
        <w:rPr>
          <w:rFonts w:ascii="Times New Roman" w:hAnsi="Times New Roman"/>
          <w:sz w:val="24"/>
          <w:szCs w:val="24"/>
          <w:lang w:eastAsia="ru-RU"/>
        </w:rPr>
      </w:pPr>
      <w:r w:rsidRPr="00712131">
        <w:rPr>
          <w:rFonts w:ascii="Times New Roman" w:hAnsi="Times New Roman"/>
          <w:sz w:val="24"/>
          <w:szCs w:val="24"/>
          <w:lang w:eastAsia="ru-RU"/>
        </w:rPr>
        <w:t xml:space="preserve">3.4.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№П-7 от 25.04.1966г (в редакции от 14.11.1974г с изм. от 22.10.1997г), в части не противоречащей законодательству РФ. </w:t>
      </w:r>
    </w:p>
    <w:p w:rsidR="00A234BE" w:rsidRPr="00712131" w:rsidRDefault="00A234BE" w:rsidP="00A234BE">
      <w:pPr>
        <w:suppressAutoHyphens w:val="0"/>
        <w:spacing w:after="0" w:line="240" w:lineRule="auto"/>
        <w:contextualSpacing/>
        <w:jc w:val="both"/>
        <w:rPr>
          <w:rFonts w:ascii="Times New Roman" w:hAnsi="Times New Roman" w:cs="Times New Roman"/>
          <w:sz w:val="24"/>
          <w:szCs w:val="24"/>
          <w:lang w:eastAsia="ru-RU"/>
        </w:rPr>
      </w:pPr>
      <w:r w:rsidRPr="00712131">
        <w:rPr>
          <w:rFonts w:ascii="Times New Roman" w:hAnsi="Times New Roman" w:cs="Times New Roman"/>
          <w:sz w:val="24"/>
          <w:szCs w:val="24"/>
          <w:lang w:eastAsia="ru-RU"/>
        </w:rPr>
        <w:t>3</w:t>
      </w:r>
      <w:r>
        <w:rPr>
          <w:rFonts w:ascii="Times New Roman" w:hAnsi="Times New Roman" w:cs="Times New Roman"/>
          <w:sz w:val="24"/>
          <w:szCs w:val="24"/>
          <w:lang w:eastAsia="ru-RU"/>
        </w:rPr>
        <w:t>.5</w:t>
      </w:r>
      <w:r w:rsidRPr="00712131">
        <w:rPr>
          <w:rFonts w:ascii="Times New Roman" w:hAnsi="Times New Roman" w:cs="Times New Roman"/>
          <w:sz w:val="24"/>
          <w:szCs w:val="24"/>
          <w:lang w:eastAsia="ru-RU"/>
        </w:rPr>
        <w:t xml:space="preserve">. </w:t>
      </w:r>
      <w:proofErr w:type="gramStart"/>
      <w:r w:rsidRPr="00752A41">
        <w:rPr>
          <w:rFonts w:ascii="Times New Roman" w:hAnsi="Times New Roman" w:cs="Times New Roman"/>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52A41">
        <w:rPr>
          <w:rFonts w:ascii="Times New Roman" w:hAnsi="Times New Roman" w:cs="Times New Roman"/>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712131">
        <w:rPr>
          <w:rFonts w:ascii="Times New Roman" w:hAnsi="Times New Roman" w:cs="Times New Roman"/>
          <w:sz w:val="24"/>
          <w:szCs w:val="24"/>
          <w:lang w:eastAsia="ru-RU"/>
        </w:rPr>
        <w:t>.</w:t>
      </w:r>
    </w:p>
    <w:p w:rsidR="00A234BE" w:rsidRDefault="00A234BE" w:rsidP="00A234BE">
      <w:pPr>
        <w:pStyle w:val="af4"/>
        <w:spacing w:after="0" w:line="240" w:lineRule="auto"/>
        <w:ind w:left="0"/>
        <w:jc w:val="both"/>
        <w:rPr>
          <w:rFonts w:ascii="Times New Roman" w:hAnsi="Times New Roman"/>
          <w:color w:val="000000"/>
          <w:sz w:val="24"/>
          <w:szCs w:val="24"/>
        </w:rPr>
      </w:pPr>
      <w:r w:rsidRPr="00712131">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712131">
        <w:rPr>
          <w:rFonts w:ascii="Times New Roman" w:hAnsi="Times New Roman"/>
          <w:sz w:val="24"/>
          <w:szCs w:val="24"/>
          <w:lang w:eastAsia="ru-RU"/>
        </w:rPr>
        <w:t xml:space="preserve">. Существенные условия: </w:t>
      </w:r>
      <w:proofErr w:type="gramStart"/>
      <w:r w:rsidRPr="0088339C">
        <w:rPr>
          <w:rFonts w:ascii="Times New Roman" w:hAnsi="Times New Roman"/>
          <w:color w:val="000000"/>
          <w:sz w:val="24"/>
          <w:szCs w:val="24"/>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8339C">
        <w:rPr>
          <w:rFonts w:ascii="Times New Roman" w:hAnsi="Times New Roman"/>
          <w:color w:val="000000"/>
          <w:sz w:val="24"/>
          <w:szCs w:val="24"/>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hAnsi="Times New Roman"/>
          <w:color w:val="000000"/>
          <w:sz w:val="24"/>
          <w:szCs w:val="24"/>
        </w:rPr>
        <w:t>.</w:t>
      </w:r>
    </w:p>
    <w:p w:rsidR="00A234BE" w:rsidRPr="00712131" w:rsidRDefault="00A234BE" w:rsidP="00A234BE">
      <w:pPr>
        <w:pStyle w:val="af4"/>
        <w:spacing w:after="0" w:line="240" w:lineRule="auto"/>
        <w:ind w:left="0"/>
        <w:jc w:val="both"/>
        <w:rPr>
          <w:rFonts w:ascii="Times New Roman" w:hAnsi="Times New Roman"/>
          <w:color w:val="000000"/>
          <w:sz w:val="24"/>
          <w:szCs w:val="24"/>
        </w:rPr>
      </w:pPr>
    </w:p>
    <w:p w:rsidR="00A234BE" w:rsidRPr="001E57EA" w:rsidRDefault="00A234BE" w:rsidP="00A234BE">
      <w:pPr>
        <w:suppressAutoHyphens w:val="0"/>
        <w:spacing w:line="240" w:lineRule="auto"/>
        <w:ind w:hanging="1134"/>
        <w:contextualSpacing/>
        <w:jc w:val="both"/>
        <w:rPr>
          <w:rFonts w:ascii="Times New Roman" w:hAnsi="Times New Roman" w:cs="Times New Roman"/>
          <w:b/>
          <w:sz w:val="24"/>
          <w:szCs w:val="24"/>
          <w:lang w:eastAsia="ru-RU"/>
        </w:rPr>
      </w:pPr>
      <w:r w:rsidRPr="001E57EA">
        <w:rPr>
          <w:rFonts w:ascii="Times New Roman" w:hAnsi="Times New Roman" w:cs="Times New Roman"/>
          <w:b/>
          <w:sz w:val="24"/>
          <w:szCs w:val="24"/>
          <w:lang w:eastAsia="ru-RU"/>
        </w:rPr>
        <w:t xml:space="preserve">                       4.  Гарантийные обязательства:</w:t>
      </w:r>
    </w:p>
    <w:p w:rsidR="00A234BE" w:rsidRPr="00712131" w:rsidRDefault="00A234BE" w:rsidP="00A234BE">
      <w:pPr>
        <w:suppressAutoHyphens w:val="0"/>
        <w:spacing w:line="240" w:lineRule="auto"/>
        <w:contextualSpacing/>
        <w:jc w:val="both"/>
        <w:rPr>
          <w:rFonts w:ascii="Times New Roman" w:hAnsi="Times New Roman" w:cs="Times New Roman"/>
          <w:sz w:val="24"/>
          <w:szCs w:val="24"/>
          <w:lang w:eastAsia="ru-RU"/>
        </w:rPr>
      </w:pPr>
      <w:r w:rsidRPr="00712131">
        <w:rPr>
          <w:rFonts w:ascii="Times New Roman" w:hAnsi="Times New Roman" w:cs="Times New Roman"/>
          <w:sz w:val="24"/>
          <w:szCs w:val="24"/>
          <w:lang w:eastAsia="ru-RU"/>
        </w:rPr>
        <w:t xml:space="preserve">4.1. Товар должен быть новым, ранее не эксплуатированным, не восстановленным, произведен </w:t>
      </w:r>
      <w:r>
        <w:rPr>
          <w:rFonts w:ascii="Times New Roman" w:hAnsi="Times New Roman" w:cs="Times New Roman"/>
          <w:sz w:val="24"/>
          <w:szCs w:val="24"/>
          <w:lang w:eastAsia="ru-RU"/>
        </w:rPr>
        <w:t>не ра</w:t>
      </w:r>
      <w:r w:rsidRPr="00712131">
        <w:rPr>
          <w:rFonts w:ascii="Times New Roman" w:hAnsi="Times New Roman" w:cs="Times New Roman"/>
          <w:sz w:val="24"/>
          <w:szCs w:val="24"/>
          <w:lang w:eastAsia="ru-RU"/>
        </w:rPr>
        <w:t>нее 202</w:t>
      </w:r>
      <w:r>
        <w:rPr>
          <w:rFonts w:ascii="Times New Roman" w:hAnsi="Times New Roman" w:cs="Times New Roman"/>
          <w:sz w:val="24"/>
          <w:szCs w:val="24"/>
          <w:lang w:eastAsia="ru-RU"/>
        </w:rPr>
        <w:t>2</w:t>
      </w:r>
      <w:r w:rsidRPr="00712131">
        <w:rPr>
          <w:rFonts w:ascii="Times New Roman" w:hAnsi="Times New Roman" w:cs="Times New Roman"/>
          <w:sz w:val="24"/>
          <w:szCs w:val="24"/>
          <w:lang w:eastAsia="ru-RU"/>
        </w:rPr>
        <w:t>г.</w:t>
      </w:r>
    </w:p>
    <w:p w:rsidR="00A234BE" w:rsidRPr="00712131" w:rsidRDefault="00A234BE" w:rsidP="00A234BE">
      <w:pPr>
        <w:suppressAutoHyphens w:val="0"/>
        <w:spacing w:line="240" w:lineRule="auto"/>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4.2. Гарантийный срок: 5 лет с момента  сдачи  судна </w:t>
      </w:r>
      <w:proofErr w:type="spellStart"/>
      <w:r w:rsidRPr="00712131">
        <w:rPr>
          <w:rFonts w:ascii="Times New Roman" w:hAnsi="Times New Roman" w:cs="Times New Roman"/>
          <w:sz w:val="24"/>
          <w:szCs w:val="24"/>
          <w:lang w:eastAsia="en-US"/>
        </w:rPr>
        <w:t>Госзаказчику</w:t>
      </w:r>
      <w:proofErr w:type="spellEnd"/>
      <w:r w:rsidRPr="00712131">
        <w:rPr>
          <w:rFonts w:ascii="Times New Roman" w:hAnsi="Times New Roman" w:cs="Times New Roman"/>
          <w:sz w:val="24"/>
          <w:szCs w:val="24"/>
          <w:lang w:eastAsia="en-US"/>
        </w:rPr>
        <w:t>.</w:t>
      </w:r>
    </w:p>
    <w:p w:rsidR="00A234BE" w:rsidRPr="00712131" w:rsidRDefault="00A234BE" w:rsidP="00A234BE">
      <w:pPr>
        <w:suppressAutoHyphens w:val="0"/>
        <w:spacing w:line="240" w:lineRule="auto"/>
        <w:contextualSpacing/>
        <w:jc w:val="both"/>
        <w:rPr>
          <w:rFonts w:ascii="Times New Roman" w:hAnsi="Times New Roman" w:cs="Times New Roman"/>
          <w:color w:val="000000"/>
          <w:sz w:val="24"/>
          <w:szCs w:val="24"/>
        </w:rPr>
      </w:pPr>
    </w:p>
    <w:p w:rsidR="00A234BE" w:rsidRPr="001E57EA" w:rsidRDefault="00A234BE" w:rsidP="00A234BE">
      <w:pPr>
        <w:suppressAutoHyphens w:val="0"/>
        <w:spacing w:line="240" w:lineRule="auto"/>
        <w:ind w:hanging="1134"/>
        <w:contextualSpacing/>
        <w:jc w:val="both"/>
        <w:rPr>
          <w:rFonts w:ascii="Times New Roman" w:hAnsi="Times New Roman" w:cs="Times New Roman"/>
          <w:b/>
          <w:sz w:val="24"/>
          <w:szCs w:val="24"/>
          <w:lang w:eastAsia="en-US"/>
        </w:rPr>
      </w:pPr>
      <w:r w:rsidRPr="00712131">
        <w:rPr>
          <w:rFonts w:ascii="Times New Roman" w:hAnsi="Times New Roman" w:cs="Times New Roman"/>
          <w:sz w:val="24"/>
          <w:szCs w:val="24"/>
          <w:lang w:eastAsia="en-US"/>
        </w:rPr>
        <w:t xml:space="preserve">                      </w:t>
      </w:r>
      <w:r w:rsidRPr="001E57EA">
        <w:rPr>
          <w:rFonts w:ascii="Times New Roman" w:hAnsi="Times New Roman" w:cs="Times New Roman"/>
          <w:b/>
          <w:sz w:val="24"/>
          <w:szCs w:val="24"/>
          <w:lang w:eastAsia="en-US"/>
        </w:rPr>
        <w:t>5.  Требования к Поставщику:</w:t>
      </w:r>
    </w:p>
    <w:p w:rsidR="00A234BE" w:rsidRPr="00712131" w:rsidRDefault="00A234BE" w:rsidP="00A234BE">
      <w:pPr>
        <w:suppressAutoHyphens w:val="0"/>
        <w:spacing w:line="240" w:lineRule="auto"/>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234BE" w:rsidRPr="00712131" w:rsidRDefault="00A234BE" w:rsidP="00A234BE">
      <w:pPr>
        <w:suppressAutoHyphens w:val="0"/>
        <w:spacing w:line="240" w:lineRule="auto"/>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5.2. Не должен находиться в процессе ликвидации, банкротства и на его имущество не должен быть наложен арест.</w:t>
      </w:r>
    </w:p>
    <w:p w:rsidR="00A234BE" w:rsidRPr="00712131" w:rsidRDefault="00A234BE" w:rsidP="00A234BE">
      <w:pPr>
        <w:suppressAutoHyphens w:val="0"/>
        <w:spacing w:line="240" w:lineRule="auto"/>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5.3. Обладать необходимыми профессиональными знаниями, опытом и репутацией;</w:t>
      </w:r>
    </w:p>
    <w:p w:rsidR="00A234BE" w:rsidRPr="00712131" w:rsidRDefault="00A234BE" w:rsidP="00A234BE">
      <w:pPr>
        <w:suppressAutoHyphens w:val="0"/>
        <w:spacing w:line="240" w:lineRule="auto"/>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5.4. Иметь ресурсные возможности (финансовые, материально-технические, трудовые);</w:t>
      </w:r>
    </w:p>
    <w:p w:rsidR="00A234BE" w:rsidRPr="00712131" w:rsidRDefault="00A234BE" w:rsidP="00A234BE">
      <w:pPr>
        <w:suppressAutoHyphens w:val="0"/>
        <w:spacing w:line="240" w:lineRule="auto"/>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5.6. Поставщик должен предоставить обеспечение возврата аванса по Договору в форме:</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безотзывной банковской гарантии;</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денежных средств путем их перечисления Заказчику.</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5.6.1. Размер обеспечения возврата аванса равен сумме выплачиваемого аванса.</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5.6.2. В </w:t>
      </w:r>
      <w:proofErr w:type="gramStart"/>
      <w:r w:rsidRPr="00712131">
        <w:rPr>
          <w:rFonts w:ascii="Times New Roman" w:hAnsi="Times New Roman" w:cs="Times New Roman"/>
          <w:sz w:val="24"/>
          <w:szCs w:val="24"/>
          <w:lang w:eastAsia="en-US"/>
        </w:rPr>
        <w:t>случае</w:t>
      </w:r>
      <w:proofErr w:type="gramEnd"/>
      <w:r w:rsidRPr="00712131">
        <w:rPr>
          <w:rFonts w:ascii="Times New Roman" w:hAnsi="Times New Roman" w:cs="Times New Roman"/>
          <w:sz w:val="24"/>
          <w:szCs w:val="24"/>
          <w:lang w:eastAsia="en-US"/>
        </w:rPr>
        <w:t>, если Поставщик зарекомендовал себя как благонадежный партнер, Покупатель вправе не устанавливать требование обеспечения исполнения обязательств по возврату аванса.</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5.7. В </w:t>
      </w:r>
      <w:proofErr w:type="gramStart"/>
      <w:r w:rsidRPr="00712131">
        <w:rPr>
          <w:rFonts w:ascii="Times New Roman" w:hAnsi="Times New Roman" w:cs="Times New Roman"/>
          <w:sz w:val="24"/>
          <w:szCs w:val="24"/>
          <w:lang w:eastAsia="en-US"/>
        </w:rPr>
        <w:t>случае</w:t>
      </w:r>
      <w:proofErr w:type="gramEnd"/>
      <w:r w:rsidRPr="00712131">
        <w:rPr>
          <w:rFonts w:ascii="Times New Roman" w:hAnsi="Times New Roman" w:cs="Times New Roman"/>
          <w:sz w:val="24"/>
          <w:szCs w:val="24"/>
          <w:lang w:eastAsia="en-US"/>
        </w:rPr>
        <w:t xml:space="preserve"> необходимости авансирования поставщик обязуется предоставить в срок не позднее 15 (пятнадцати) дней с даты заключения Договора обеспечение возврата аванса  по Договору в форме:</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безотзывной банковской гарантии (далее – банковская гарантия), выданной банком; </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5.7.1. Требования к банкам-гарантам при предоставлении обеспечения в виде банковской гарантии:</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банк должен иметь лицензию Центрального банка Российской Федерации;</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банк должен быть участником системы страхования вкладов;</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lastRenderedPageBreak/>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5.7.2. В банковской гарантии должно быть указано, что:</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передача прав по банковской гарантии не допускается;</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банковская гарантия вступает в силу со дня ее выдачи;</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5.7.3. Банковская гарантия должна содержать:</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w:t>
      </w:r>
      <w:proofErr w:type="gramStart"/>
      <w:r w:rsidRPr="00712131">
        <w:rPr>
          <w:rFonts w:ascii="Times New Roman" w:hAnsi="Times New Roman" w:cs="Times New Roman"/>
          <w:sz w:val="24"/>
          <w:szCs w:val="24"/>
          <w:lang w:eastAsia="en-US"/>
        </w:rPr>
        <w:t>у</w:t>
      </w:r>
      <w:proofErr w:type="gramEnd"/>
      <w:r w:rsidRPr="00712131">
        <w:rPr>
          <w:rFonts w:ascii="Times New Roman" w:hAnsi="Times New Roman" w:cs="Times New Roman"/>
          <w:sz w:val="24"/>
          <w:szCs w:val="24"/>
          <w:lang w:eastAsia="en-US"/>
        </w:rPr>
        <w:t>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w:t>
      </w:r>
      <w:proofErr w:type="gramStart"/>
      <w:r w:rsidRPr="00712131">
        <w:rPr>
          <w:rFonts w:ascii="Times New Roman" w:hAnsi="Times New Roman" w:cs="Times New Roman"/>
          <w:sz w:val="24"/>
          <w:szCs w:val="24"/>
          <w:lang w:eastAsia="en-US"/>
        </w:rPr>
        <w:t>у</w:t>
      </w:r>
      <w:proofErr w:type="gramEnd"/>
      <w:r w:rsidRPr="00712131">
        <w:rPr>
          <w:rFonts w:ascii="Times New Roman" w:hAnsi="Times New Roman" w:cs="Times New Roman"/>
          <w:sz w:val="24"/>
          <w:szCs w:val="24"/>
          <w:lang w:eastAsia="en-US"/>
        </w:rPr>
        <w:t>казание на то, что любые споры по ней разрешаются в Арбитражном суде Республики Крым.</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5.7.4. Банковская гарантия должна соответствовать требованиям, установленным статьями 368 - 379 Гражданского кодекса РФ.</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5.7.5.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712131">
        <w:rPr>
          <w:rFonts w:ascii="Times New Roman" w:hAnsi="Times New Roman" w:cs="Times New Roman"/>
          <w:sz w:val="24"/>
          <w:szCs w:val="24"/>
          <w:lang w:eastAsia="en-US"/>
        </w:rPr>
        <w:t>с даты окончания</w:t>
      </w:r>
      <w:proofErr w:type="gramEnd"/>
      <w:r w:rsidRPr="00712131">
        <w:rPr>
          <w:rFonts w:ascii="Times New Roman" w:hAnsi="Times New Roman" w:cs="Times New Roman"/>
          <w:sz w:val="24"/>
          <w:szCs w:val="24"/>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A234BE" w:rsidRPr="00712131" w:rsidRDefault="00A234BE" w:rsidP="00A234BE">
      <w:pPr>
        <w:suppressAutoHyphens w:val="0"/>
        <w:ind w:hanging="11"/>
        <w:contextualSpacing/>
        <w:jc w:val="both"/>
        <w:rPr>
          <w:rFonts w:ascii="Times New Roman" w:hAnsi="Times New Roman" w:cs="Times New Roman"/>
          <w:sz w:val="24"/>
          <w:szCs w:val="24"/>
          <w:lang w:eastAsia="en-US"/>
        </w:rPr>
      </w:pPr>
    </w:p>
    <w:p w:rsidR="00A234BE" w:rsidRPr="001E57EA" w:rsidRDefault="00A234BE" w:rsidP="00A234BE">
      <w:pPr>
        <w:suppressAutoHyphens w:val="0"/>
        <w:spacing w:after="0" w:line="240" w:lineRule="auto"/>
        <w:ind w:hanging="11"/>
        <w:contextualSpacing/>
        <w:jc w:val="both"/>
        <w:rPr>
          <w:rFonts w:ascii="Times New Roman" w:hAnsi="Times New Roman" w:cs="Times New Roman"/>
          <w:b/>
          <w:sz w:val="24"/>
          <w:szCs w:val="24"/>
          <w:lang w:eastAsia="en-US"/>
        </w:rPr>
      </w:pPr>
      <w:r w:rsidRPr="001E57EA">
        <w:rPr>
          <w:rFonts w:ascii="Times New Roman" w:hAnsi="Times New Roman" w:cs="Times New Roman"/>
          <w:b/>
          <w:sz w:val="24"/>
          <w:szCs w:val="24"/>
          <w:lang w:eastAsia="ru-RU"/>
        </w:rPr>
        <w:t>6.  Условия оплаты:</w:t>
      </w:r>
    </w:p>
    <w:p w:rsidR="00A234BE" w:rsidRPr="00712131" w:rsidRDefault="00A234BE" w:rsidP="00A234B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6.1. С применением авансирования:</w:t>
      </w:r>
    </w:p>
    <w:p w:rsidR="00A234BE" w:rsidRPr="00712131" w:rsidRDefault="00A234BE" w:rsidP="00A234B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Первый авансовый платеж производится Покупателем в течение 10 </w:t>
      </w:r>
      <w:r>
        <w:rPr>
          <w:rFonts w:ascii="Times New Roman" w:hAnsi="Times New Roman" w:cs="Times New Roman"/>
          <w:sz w:val="24"/>
          <w:szCs w:val="24"/>
          <w:lang w:eastAsia="en-US"/>
        </w:rPr>
        <w:t>рабочих</w:t>
      </w:r>
      <w:r w:rsidRPr="00712131">
        <w:rPr>
          <w:rFonts w:ascii="Times New Roman" w:hAnsi="Times New Roman" w:cs="Times New Roman"/>
          <w:sz w:val="24"/>
          <w:szCs w:val="24"/>
          <w:lang w:eastAsia="en-US"/>
        </w:rPr>
        <w:t xml:space="preserve"> дней после двухстороннего подписания договора поставки, предоставления Поставщиком счета, и не может превышать 50% от общей стоимости товара согласно Спецификации.</w:t>
      </w:r>
    </w:p>
    <w:p w:rsidR="00A234BE" w:rsidRPr="00712131" w:rsidRDefault="00A234BE" w:rsidP="00A234B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xml:space="preserve">- Окончательный платеж за вычетом авансового платежа производится Покупателем в течение 15 </w:t>
      </w:r>
      <w:r>
        <w:rPr>
          <w:rFonts w:ascii="Times New Roman" w:hAnsi="Times New Roman" w:cs="Times New Roman"/>
          <w:sz w:val="24"/>
          <w:szCs w:val="24"/>
          <w:lang w:eastAsia="en-US"/>
        </w:rPr>
        <w:t>рабочих</w:t>
      </w:r>
      <w:r w:rsidRPr="00712131">
        <w:rPr>
          <w:rFonts w:ascii="Times New Roman" w:hAnsi="Times New Roman" w:cs="Times New Roman"/>
          <w:sz w:val="24"/>
          <w:szCs w:val="24"/>
          <w:lang w:eastAsia="en-US"/>
        </w:rPr>
        <w:t xml:space="preserve"> дней после приемки товара по количеству и качеству на складе Покупателя без замечаний и при наличии полного комплекта сопроводительных доку</w:t>
      </w:r>
      <w:r>
        <w:rPr>
          <w:rFonts w:ascii="Times New Roman" w:hAnsi="Times New Roman" w:cs="Times New Roman"/>
          <w:sz w:val="24"/>
          <w:szCs w:val="24"/>
          <w:lang w:eastAsia="en-US"/>
        </w:rPr>
        <w:t>ментов согласно п. 1.4</w:t>
      </w:r>
      <w:r w:rsidRPr="00712131">
        <w:rPr>
          <w:rFonts w:ascii="Times New Roman" w:hAnsi="Times New Roman" w:cs="Times New Roman"/>
          <w:sz w:val="24"/>
          <w:szCs w:val="24"/>
          <w:lang w:eastAsia="en-US"/>
        </w:rPr>
        <w:t>.</w:t>
      </w:r>
    </w:p>
    <w:p w:rsidR="00A234BE" w:rsidRPr="00712131" w:rsidRDefault="00A234BE" w:rsidP="00A234B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6.1.2. Без применения авансирования:</w:t>
      </w:r>
    </w:p>
    <w:p w:rsidR="00A234BE" w:rsidRPr="00712131" w:rsidRDefault="00A234BE" w:rsidP="00A234B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712131">
        <w:rPr>
          <w:rFonts w:ascii="Times New Roman" w:hAnsi="Times New Roman" w:cs="Times New Roman"/>
          <w:sz w:val="24"/>
          <w:szCs w:val="24"/>
          <w:lang w:eastAsia="en-US"/>
        </w:rPr>
        <w:t>- расчет в размере 100% стоимости всего объема поставленного в соответствие договору Товара, производится Покупателем в течение 10 (Десяти) банковских дней после приемки поставленного товара на складе Покупателя</w:t>
      </w:r>
    </w:p>
    <w:p w:rsidR="00A234BE" w:rsidRPr="00712131" w:rsidRDefault="00A234BE" w:rsidP="00A234BE">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234BE" w:rsidRPr="001E57EA" w:rsidRDefault="00A234BE" w:rsidP="00A234BE">
      <w:pPr>
        <w:tabs>
          <w:tab w:val="left" w:pos="-284"/>
          <w:tab w:val="left" w:pos="426"/>
          <w:tab w:val="left" w:pos="960"/>
        </w:tabs>
        <w:spacing w:after="0" w:line="240" w:lineRule="auto"/>
        <w:contextualSpacing/>
        <w:jc w:val="both"/>
        <w:rPr>
          <w:rFonts w:ascii="Times New Roman" w:hAnsi="Times New Roman" w:cs="Times New Roman"/>
          <w:b/>
          <w:color w:val="000000"/>
          <w:sz w:val="24"/>
          <w:szCs w:val="24"/>
        </w:rPr>
      </w:pPr>
      <w:r w:rsidRPr="00712131">
        <w:rPr>
          <w:rFonts w:ascii="Times New Roman" w:hAnsi="Times New Roman" w:cs="Times New Roman"/>
          <w:color w:val="000000"/>
          <w:sz w:val="24"/>
          <w:szCs w:val="24"/>
        </w:rPr>
        <w:t>7</w:t>
      </w:r>
      <w:r w:rsidRPr="001E57EA">
        <w:rPr>
          <w:rFonts w:ascii="Times New Roman" w:hAnsi="Times New Roman" w:cs="Times New Roman"/>
          <w:b/>
          <w:color w:val="000000"/>
          <w:sz w:val="24"/>
          <w:szCs w:val="24"/>
        </w:rPr>
        <w:t>. Условия о должной осмотрительности:</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7.1. Поставщик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7.2. Поставщик обязан предоставлять вместе с заявкой следующие документы:</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 Выписка из ЕГРЮЛ или ЕГРИП с печатью ИФНС, либо заверенные исполнительным органом контрагента их копии;</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2) Заверенные поставщиком копии свидетельства о государственной регистрации общества или ИП (ОГРН);</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lastRenderedPageBreak/>
        <w:t>3) Заверенные поставщиком копии свидетельства о постановке на учет в налоговом органе по месту регистрации (ИНН);</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5) Заверенная поставщиком копия приказа о вступлении в должность единоличного исполнительного органа общества;</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6) Заверенная поставщиком копия устава организации;</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8) Заверенная поставщиком копия доверенности лица, подписывающего договор (в случае, если договор подписывает не руководитель);</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9) Форма 6-НДФЛ за последний отчетный период;</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10) Реестр 2-НДФЛ за последний отчетный период;</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11) РСВ за последний отчетный период без 3-го раздела;</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12) Заверенная поставщиком копия штатного расписание, включая сведения о штатном заполнении;</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13) Декларации по НДС и налогу на прибыль (включая уточненные декларации) за последний отчетный период;</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14) Бухгалтерская отчетность;</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15) Данные о наличии складов и офисов;</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16) Сертификаты дилера, представителя.</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712131">
        <w:rPr>
          <w:rFonts w:ascii="Times New Roman" w:hAnsi="Times New Roman" w:cs="Times New Roman"/>
          <w:color w:val="000000"/>
          <w:sz w:val="24"/>
          <w:szCs w:val="24"/>
        </w:rPr>
        <w:t>7.3</w:t>
      </w:r>
      <w:r>
        <w:rPr>
          <w:rFonts w:ascii="Times New Roman" w:hAnsi="Times New Roman" w:cs="Times New Roman"/>
          <w:color w:val="000000"/>
          <w:sz w:val="24"/>
          <w:szCs w:val="24"/>
        </w:rPr>
        <w:t xml:space="preserve"> </w:t>
      </w:r>
      <w:r w:rsidRPr="00712131">
        <w:rPr>
          <w:rFonts w:ascii="Times New Roman" w:hAnsi="Times New Roman" w:cs="Times New Roman"/>
          <w:color w:val="000000"/>
          <w:sz w:val="24"/>
          <w:szCs w:val="24"/>
        </w:rPr>
        <w:t>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A234BE" w:rsidRPr="00712131" w:rsidRDefault="00A234BE" w:rsidP="00A234BE">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proofErr w:type="gramStart"/>
      <w:r w:rsidRPr="00712131">
        <w:rPr>
          <w:rFonts w:ascii="Times New Roman" w:hAnsi="Times New Roman" w:cs="Times New Roman"/>
          <w:color w:val="000000"/>
          <w:sz w:val="24"/>
          <w:szCs w:val="24"/>
        </w:rPr>
        <w:t>7.4</w:t>
      </w:r>
      <w:r>
        <w:rPr>
          <w:rFonts w:ascii="Times New Roman" w:hAnsi="Times New Roman" w:cs="Times New Roman"/>
          <w:color w:val="000000"/>
          <w:sz w:val="24"/>
          <w:szCs w:val="24"/>
        </w:rPr>
        <w:t xml:space="preserve"> </w:t>
      </w:r>
      <w:r w:rsidRPr="00712131">
        <w:rPr>
          <w:rFonts w:ascii="Times New Roman" w:hAnsi="Times New Roman" w:cs="Times New Roman"/>
          <w:color w:val="000000"/>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7F3AF5" w:rsidRDefault="007F3AF5"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A234BE" w:rsidRDefault="00A234BE" w:rsidP="005C7500">
      <w:pPr>
        <w:outlineLvl w:val="0"/>
        <w:rPr>
          <w:rFonts w:ascii="Times New Roman" w:hAnsi="Times New Roman" w:cs="Times New Roman"/>
          <w:bCs/>
          <w:color w:val="000000"/>
          <w:sz w:val="24"/>
          <w:szCs w:val="24"/>
        </w:rPr>
      </w:pPr>
    </w:p>
    <w:p w:rsidR="00A234BE" w:rsidRDefault="00A234BE" w:rsidP="005C7500">
      <w:pPr>
        <w:outlineLvl w:val="0"/>
        <w:rPr>
          <w:rFonts w:ascii="Times New Roman" w:hAnsi="Times New Roman" w:cs="Times New Roman"/>
          <w:bCs/>
          <w:color w:val="000000"/>
          <w:sz w:val="24"/>
          <w:szCs w:val="24"/>
        </w:rPr>
      </w:pPr>
    </w:p>
    <w:p w:rsidR="00A234BE" w:rsidRDefault="00A234BE"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234BE">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A234BE" w:rsidRDefault="00A234BE" w:rsidP="00BF1783">
      <w:pPr>
        <w:pStyle w:val="-4"/>
        <w:widowControl w:val="0"/>
        <w:tabs>
          <w:tab w:val="clear" w:pos="2269"/>
          <w:tab w:val="left" w:pos="1134"/>
        </w:tabs>
        <w:ind w:left="0"/>
        <w:jc w:val="right"/>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A4" w:rsidRDefault="004934A4" w:rsidP="005C4CBB">
      <w:pPr>
        <w:spacing w:after="0" w:line="240" w:lineRule="auto"/>
      </w:pPr>
      <w:r>
        <w:separator/>
      </w:r>
    </w:p>
  </w:endnote>
  <w:endnote w:type="continuationSeparator" w:id="0">
    <w:p w:rsidR="004934A4" w:rsidRDefault="004934A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A4" w:rsidRDefault="004934A4" w:rsidP="005C4CBB">
      <w:pPr>
        <w:spacing w:after="0" w:line="240" w:lineRule="auto"/>
      </w:pPr>
      <w:r>
        <w:separator/>
      </w:r>
    </w:p>
  </w:footnote>
  <w:footnote w:type="continuationSeparator" w:id="0">
    <w:p w:rsidR="004934A4" w:rsidRDefault="004934A4" w:rsidP="005C4CBB">
      <w:pPr>
        <w:spacing w:after="0" w:line="240" w:lineRule="auto"/>
      </w:pPr>
      <w:r>
        <w:continuationSeparator/>
      </w:r>
    </w:p>
  </w:footnote>
  <w:footnote w:id="1">
    <w:p w:rsidR="004934A4" w:rsidRPr="006A4B85" w:rsidRDefault="004934A4"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3D77"/>
    <w:rsid w:val="000741D2"/>
    <w:rsid w:val="00074412"/>
    <w:rsid w:val="00076D33"/>
    <w:rsid w:val="00086193"/>
    <w:rsid w:val="0009088D"/>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279C"/>
    <w:rsid w:val="001044B0"/>
    <w:rsid w:val="0012408A"/>
    <w:rsid w:val="00143E2D"/>
    <w:rsid w:val="001539A3"/>
    <w:rsid w:val="00153E9D"/>
    <w:rsid w:val="00154D8B"/>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3819"/>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4A4"/>
    <w:rsid w:val="00493906"/>
    <w:rsid w:val="004A4E57"/>
    <w:rsid w:val="004A5544"/>
    <w:rsid w:val="004A5715"/>
    <w:rsid w:val="004B2BA8"/>
    <w:rsid w:val="004B4806"/>
    <w:rsid w:val="004C0B3E"/>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502"/>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C55"/>
    <w:rsid w:val="007E6D2E"/>
    <w:rsid w:val="007F0591"/>
    <w:rsid w:val="007F0B05"/>
    <w:rsid w:val="007F3AF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2A5F"/>
    <w:rsid w:val="008B7A83"/>
    <w:rsid w:val="008C74E7"/>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5A38"/>
    <w:rsid w:val="009D77B3"/>
    <w:rsid w:val="009E04CE"/>
    <w:rsid w:val="009E5836"/>
    <w:rsid w:val="009F2851"/>
    <w:rsid w:val="00A01071"/>
    <w:rsid w:val="00A06A0B"/>
    <w:rsid w:val="00A06E11"/>
    <w:rsid w:val="00A234BE"/>
    <w:rsid w:val="00A31455"/>
    <w:rsid w:val="00A31AD4"/>
    <w:rsid w:val="00A5177E"/>
    <w:rsid w:val="00A55C3D"/>
    <w:rsid w:val="00A60191"/>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5891"/>
    <w:rsid w:val="00C760C7"/>
    <w:rsid w:val="00C768FE"/>
    <w:rsid w:val="00C85643"/>
    <w:rsid w:val="00C923EC"/>
    <w:rsid w:val="00CA2ED8"/>
    <w:rsid w:val="00CA384B"/>
    <w:rsid w:val="00CA6168"/>
    <w:rsid w:val="00CB715F"/>
    <w:rsid w:val="00CC08C8"/>
    <w:rsid w:val="00CC5120"/>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5EAF"/>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C8F6-BD1C-4913-AE0E-5C895317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15</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36</cp:revision>
  <dcterms:created xsi:type="dcterms:W3CDTF">2022-02-18T06:04:00Z</dcterms:created>
  <dcterms:modified xsi:type="dcterms:W3CDTF">2022-12-20T13:09:00Z</dcterms:modified>
</cp:coreProperties>
</file>